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12" w:space="0" w:color="EFCE0C"/>
          <w:left w:val="single" w:sz="12" w:space="0" w:color="EFCE0C"/>
          <w:bottom w:val="single" w:sz="12" w:space="0" w:color="EFCE0C"/>
          <w:right w:val="single" w:sz="12" w:space="0" w:color="EFCE0C"/>
          <w:insideH w:val="single" w:sz="12" w:space="0" w:color="EFCE0C"/>
          <w:insideV w:val="single" w:sz="12" w:space="0" w:color="EFCE0C"/>
        </w:tblBorders>
        <w:tblLook w:val="04A0" w:firstRow="1" w:lastRow="0" w:firstColumn="1" w:lastColumn="0" w:noHBand="0" w:noVBand="1"/>
      </w:tblPr>
      <w:tblGrid>
        <w:gridCol w:w="9659"/>
      </w:tblGrid>
      <w:tr w:rsidR="00207354" w:rsidRPr="007B5680" w:rsidTr="00C65437">
        <w:trPr>
          <w:trHeight w:val="670"/>
          <w:jc w:val="center"/>
        </w:trPr>
        <w:tc>
          <w:tcPr>
            <w:tcW w:w="5000" w:type="pct"/>
            <w:tcBorders>
              <w:bottom w:val="single" w:sz="12" w:space="0" w:color="EFCE0C"/>
            </w:tcBorders>
            <w:vAlign w:val="center"/>
          </w:tcPr>
          <w:p w:rsidR="006C2E44" w:rsidRPr="007B5680" w:rsidRDefault="00147F66" w:rsidP="00C65437">
            <w:pPr>
              <w:pStyle w:val="Heading1"/>
              <w:numPr>
                <w:ilvl w:val="0"/>
                <w:numId w:val="0"/>
              </w:numPr>
              <w:spacing w:before="0"/>
              <w:rPr>
                <w:rFonts w:ascii="Futura Lt BT" w:hAnsi="Futura Lt BT"/>
                <w:color w:val="auto"/>
                <w:sz w:val="22"/>
                <w:szCs w:val="22"/>
              </w:rPr>
            </w:pPr>
            <w:r w:rsidRPr="007B5680">
              <w:rPr>
                <w:rStyle w:val="ECF-Heading1Char"/>
                <w:b w:val="0"/>
              </w:rPr>
              <w:t>ECF Position Paper on Motor Vehicle Insurance Directive</w:t>
            </w:r>
          </w:p>
        </w:tc>
      </w:tr>
      <w:tr w:rsidR="00207354" w:rsidRPr="007B5680" w:rsidTr="00176074">
        <w:trPr>
          <w:trHeight w:val="360"/>
          <w:jc w:val="center"/>
        </w:trPr>
        <w:tc>
          <w:tcPr>
            <w:tcW w:w="5000" w:type="pct"/>
            <w:tcBorders>
              <w:bottom w:val="nil"/>
            </w:tcBorders>
            <w:vAlign w:val="center"/>
          </w:tcPr>
          <w:p w:rsidR="00207354" w:rsidRPr="007B5680" w:rsidRDefault="00520268" w:rsidP="00E202EB">
            <w:pPr>
              <w:pStyle w:val="NoSpacing"/>
              <w:rPr>
                <w:rFonts w:ascii="Futura Lt BT" w:hAnsi="Futura Lt BT"/>
                <w:lang w:val="en-GB"/>
              </w:rPr>
            </w:pPr>
            <w:r w:rsidRPr="007B5680">
              <w:rPr>
                <w:rFonts w:ascii="Futura Lt BT" w:hAnsi="Futura Lt BT"/>
                <w:lang w:val="en-GB"/>
              </w:rPr>
              <w:t>European Cyclists’ Federation</w:t>
            </w:r>
          </w:p>
        </w:tc>
      </w:tr>
      <w:tr w:rsidR="00207354" w:rsidRPr="007B5680" w:rsidTr="00176074">
        <w:trPr>
          <w:trHeight w:val="360"/>
          <w:jc w:val="center"/>
        </w:trPr>
        <w:tc>
          <w:tcPr>
            <w:tcW w:w="5000" w:type="pct"/>
            <w:tcBorders>
              <w:top w:val="nil"/>
              <w:bottom w:val="nil"/>
            </w:tcBorders>
            <w:vAlign w:val="center"/>
          </w:tcPr>
          <w:p w:rsidR="00207354" w:rsidRPr="007B5680" w:rsidRDefault="00176074" w:rsidP="00E202EB">
            <w:pPr>
              <w:pStyle w:val="NoSpacing"/>
              <w:rPr>
                <w:rFonts w:ascii="FuturaTEE" w:hAnsi="FuturaTEE"/>
                <w:b/>
                <w:bCs/>
                <w:color w:val="85172C"/>
                <w:lang w:val="en-GB"/>
              </w:rPr>
            </w:pPr>
            <w:r w:rsidRPr="007B5680">
              <w:rPr>
                <w:rFonts w:ascii="FuturaTEE" w:hAnsi="FuturaTEE"/>
                <w:bCs/>
                <w:color w:val="EFCE0C"/>
                <w:lang w:val="en-GB"/>
              </w:rPr>
              <w:t>Ceri Woolsgrove</w:t>
            </w:r>
            <w:r w:rsidR="00520268" w:rsidRPr="007B5680">
              <w:rPr>
                <w:rFonts w:ascii="FuturaTEE" w:hAnsi="FuturaTEE"/>
                <w:bCs/>
                <w:color w:val="EFCE0C"/>
                <w:lang w:val="en-GB"/>
              </w:rPr>
              <w:t xml:space="preserve">, </w:t>
            </w:r>
            <w:r w:rsidRPr="007B5680">
              <w:rPr>
                <w:rFonts w:ascii="FuturaTEE" w:hAnsi="FuturaTEE"/>
                <w:bCs/>
                <w:color w:val="EFCE0C"/>
                <w:lang w:val="en-GB"/>
              </w:rPr>
              <w:t>Policy Officer</w:t>
            </w:r>
            <w:r w:rsidR="00520268" w:rsidRPr="007B5680">
              <w:rPr>
                <w:rFonts w:ascii="FuturaTEE" w:hAnsi="FuturaTEE"/>
                <w:b/>
                <w:bCs/>
                <w:color w:val="EFCE0C"/>
                <w:lang w:val="en-GB"/>
              </w:rPr>
              <w:t xml:space="preserve"> </w:t>
            </w:r>
            <w:hyperlink r:id="rId9" w:history="1">
              <w:r w:rsidRPr="007B5680">
                <w:rPr>
                  <w:rStyle w:val="Hyperlink"/>
                  <w:rFonts w:ascii="FuturaTEE" w:hAnsi="FuturaTEE"/>
                  <w:b/>
                  <w:bCs/>
                </w:rPr>
                <w:t>c.woolsgrove</w:t>
              </w:r>
              <w:r w:rsidRPr="007B5680">
                <w:rPr>
                  <w:rStyle w:val="Hyperlink"/>
                  <w:rFonts w:ascii="FuturaTEE" w:hAnsi="FuturaTEE"/>
                  <w:b/>
                  <w:bCs/>
                  <w:sz w:val="22"/>
                  <w:szCs w:val="22"/>
                </w:rPr>
                <w:t>@ecf.com</w:t>
              </w:r>
            </w:hyperlink>
            <w:r w:rsidR="00FF7F7D" w:rsidRPr="007B5680">
              <w:rPr>
                <w:rFonts w:ascii="FuturaTEE" w:hAnsi="FuturaTEE"/>
                <w:b/>
                <w:bCs/>
                <w:color w:val="EFCE0C"/>
                <w:lang w:val="en-GB"/>
              </w:rPr>
              <w:t xml:space="preserve"> </w:t>
            </w:r>
            <w:r w:rsidR="00C65437">
              <w:rPr>
                <w:rFonts w:ascii="Futura Lt BT" w:hAnsi="Futura Lt BT"/>
                <w:noProof/>
                <w:color w:val="808080"/>
                <w:spacing w:val="2"/>
                <w:position w:val="1"/>
                <w:sz w:val="16"/>
                <w:szCs w:val="20"/>
              </w:rPr>
              <w:t>13/10/2017</w:t>
            </w:r>
          </w:p>
        </w:tc>
      </w:tr>
      <w:tr w:rsidR="00207354" w:rsidRPr="007B5680" w:rsidTr="00C65437">
        <w:trPr>
          <w:trHeight w:val="87"/>
          <w:jc w:val="center"/>
        </w:trPr>
        <w:tc>
          <w:tcPr>
            <w:tcW w:w="5000" w:type="pct"/>
            <w:tcBorders>
              <w:top w:val="nil"/>
            </w:tcBorders>
            <w:vAlign w:val="center"/>
          </w:tcPr>
          <w:p w:rsidR="00207354" w:rsidRPr="007B5680" w:rsidRDefault="00207354" w:rsidP="00C65437">
            <w:pPr>
              <w:rPr>
                <w:rFonts w:ascii="Futura Lt BT" w:hAnsi="Futura Lt BT"/>
                <w:noProof/>
                <w:color w:val="808080"/>
                <w:spacing w:val="2"/>
                <w:position w:val="1"/>
                <w:sz w:val="16"/>
                <w:szCs w:val="20"/>
              </w:rPr>
            </w:pPr>
          </w:p>
        </w:tc>
      </w:tr>
      <w:tr w:rsidR="00F36BF2" w:rsidRPr="007B5680" w:rsidTr="00C65437">
        <w:trPr>
          <w:trHeight w:val="791"/>
          <w:jc w:val="center"/>
        </w:trPr>
        <w:tc>
          <w:tcPr>
            <w:tcW w:w="5000" w:type="pct"/>
            <w:vAlign w:val="center"/>
          </w:tcPr>
          <w:p w:rsidR="00F36BF2" w:rsidRPr="007B5680" w:rsidRDefault="00072D34" w:rsidP="00E202EB">
            <w:pPr>
              <w:jc w:val="both"/>
              <w:rPr>
                <w:rFonts w:ascii="Futura Lt BT" w:hAnsi="Futura Lt BT"/>
                <w:noProof/>
                <w:color w:val="808080"/>
                <w:spacing w:val="2"/>
                <w:position w:val="1"/>
                <w:sz w:val="16"/>
                <w:szCs w:val="20"/>
              </w:rPr>
            </w:pPr>
            <w:r w:rsidRPr="007B5680">
              <w:rPr>
                <w:noProof/>
                <w:lang w:eastAsia="en-GB"/>
              </w:rPr>
              <w:drawing>
                <wp:inline distT="0" distB="0" distL="0" distR="0">
                  <wp:extent cx="244475" cy="170180"/>
                  <wp:effectExtent l="0" t="0" r="3175" b="1270"/>
                  <wp:docPr id="9"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uropa.eu/about-eu/basic-information/symbols/images/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44475" cy="170180"/>
                          </a:xfrm>
                          <a:prstGeom prst="rect">
                            <a:avLst/>
                          </a:prstGeom>
                          <a:noFill/>
                          <a:ln>
                            <a:noFill/>
                          </a:ln>
                        </pic:spPr>
                      </pic:pic>
                    </a:graphicData>
                  </a:graphic>
                </wp:inline>
              </w:drawing>
            </w:r>
            <w:r w:rsidR="00F36BF2" w:rsidRPr="007B5680">
              <w:rPr>
                <w:rFonts w:ascii="Futura Lt BT" w:hAnsi="Futura Lt BT"/>
                <w:noProof/>
                <w:color w:val="808080"/>
                <w:spacing w:val="2"/>
                <w:position w:val="1"/>
                <w:sz w:val="16"/>
                <w:szCs w:val="20"/>
              </w:rPr>
              <w:t>ECF gratefully acknoledges financial support from the European Commission.</w:t>
            </w:r>
          </w:p>
          <w:p w:rsidR="00F36BF2" w:rsidRPr="007B5680" w:rsidRDefault="00F36BF2" w:rsidP="00E202EB">
            <w:pPr>
              <w:pStyle w:val="Endnotes"/>
              <w:ind w:left="0"/>
              <w:rPr>
                <w:noProof/>
              </w:rPr>
            </w:pPr>
            <w:r w:rsidRPr="007B5680">
              <w:rPr>
                <w:noProof/>
              </w:rPr>
              <w:t xml:space="preserve">The information and views set out in this </w:t>
            </w:r>
            <w:r w:rsidR="00176074" w:rsidRPr="007B5680">
              <w:rPr>
                <w:noProof/>
              </w:rPr>
              <w:t>document</w:t>
            </w:r>
            <w:r w:rsidRPr="007B5680">
              <w:rPr>
                <w:noProof/>
              </w:rPr>
              <w:t xml:space="preserve">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p w:rsidR="0059030C" w:rsidRPr="00C65437" w:rsidRDefault="0059030C" w:rsidP="00C65437">
      <w:pPr>
        <w:tabs>
          <w:tab w:val="center" w:pos="4153"/>
          <w:tab w:val="right" w:pos="8306"/>
        </w:tabs>
        <w:spacing w:before="120" w:after="120"/>
        <w:rPr>
          <w:rFonts w:ascii="FuturaBold Ro" w:hAnsi="FuturaBold Ro" w:cs="Arial"/>
          <w:bCs/>
          <w:color w:val="5B9BD5" w:themeColor="accent1"/>
          <w:spacing w:val="-22"/>
          <w:sz w:val="36"/>
          <w:szCs w:val="32"/>
        </w:rPr>
      </w:pPr>
      <w:r w:rsidRPr="0059030C">
        <w:rPr>
          <w:rFonts w:ascii="FuturaBold Ro" w:hAnsi="FuturaBold Ro" w:cs="Arial"/>
          <w:bCs/>
          <w:color w:val="5B9BD5" w:themeColor="accent1"/>
          <w:spacing w:val="-22"/>
          <w:sz w:val="36"/>
          <w:szCs w:val="32"/>
        </w:rPr>
        <w:t>Main Points</w:t>
      </w:r>
    </w:p>
    <w:p w:rsidR="00C65437" w:rsidRPr="0059030C" w:rsidRDefault="0059030C" w:rsidP="0059030C">
      <w:pPr>
        <w:spacing w:after="120"/>
        <w:contextualSpacing/>
        <w:rPr>
          <w:rFonts w:ascii="FuturaTEE" w:hAnsi="FuturaTEE"/>
          <w:color w:val="055068"/>
          <w:sz w:val="24"/>
        </w:rPr>
      </w:pPr>
      <w:r w:rsidRPr="0059030C">
        <w:rPr>
          <w:rFonts w:ascii="FuturaTEE" w:hAnsi="FuturaTEE"/>
          <w:color w:val="055068"/>
          <w:sz w:val="24"/>
        </w:rPr>
        <w:t xml:space="preserve">Within the upcoming review of the Motor Vehicle Insurance Directive (MID) within the Refit Programme the European Commission should exclude Electrically </w:t>
      </w:r>
      <w:r w:rsidR="00200A01">
        <w:rPr>
          <w:rFonts w:ascii="FuturaTEE" w:hAnsi="FuturaTEE"/>
          <w:color w:val="055068"/>
          <w:sz w:val="24"/>
        </w:rPr>
        <w:t>Power</w:t>
      </w:r>
      <w:r w:rsidR="00200A01" w:rsidRPr="0059030C">
        <w:rPr>
          <w:rFonts w:ascii="FuturaTEE" w:hAnsi="FuturaTEE"/>
          <w:color w:val="055068"/>
          <w:sz w:val="24"/>
        </w:rPr>
        <w:t xml:space="preserve"> </w:t>
      </w:r>
      <w:r w:rsidRPr="0059030C">
        <w:rPr>
          <w:rFonts w:ascii="FuturaTEE" w:hAnsi="FuturaTEE"/>
          <w:color w:val="055068"/>
          <w:sz w:val="24"/>
        </w:rPr>
        <w:t>Assisted Cycles (</w:t>
      </w:r>
      <w:r w:rsidR="00200A01">
        <w:rPr>
          <w:rFonts w:ascii="FuturaTEE" w:hAnsi="FuturaTEE"/>
          <w:color w:val="055068"/>
          <w:sz w:val="24"/>
        </w:rPr>
        <w:t>EPAC</w:t>
      </w:r>
      <w:r w:rsidRPr="0059030C">
        <w:rPr>
          <w:rFonts w:ascii="FuturaTEE" w:hAnsi="FuturaTEE"/>
          <w:color w:val="055068"/>
          <w:sz w:val="24"/>
        </w:rPr>
        <w:t>s) from the Directive</w:t>
      </w:r>
      <w:r w:rsidR="00884B61">
        <w:rPr>
          <w:rFonts w:ascii="FuturaTEE" w:hAnsi="FuturaTEE"/>
          <w:color w:val="055068"/>
          <w:sz w:val="24"/>
        </w:rPr>
        <w:t>, because;</w:t>
      </w:r>
    </w:p>
    <w:p w:rsidR="00C65437" w:rsidRDefault="00C65437" w:rsidP="0059030C">
      <w:pPr>
        <w:spacing w:after="120"/>
        <w:contextualSpacing/>
        <w:rPr>
          <w:rFonts w:asciiTheme="majorHAnsi" w:eastAsiaTheme="majorEastAsia" w:hAnsiTheme="majorHAnsi" w:cstheme="majorBidi"/>
          <w:i/>
          <w:color w:val="2E74B5" w:themeColor="accent1" w:themeShade="BF"/>
          <w:sz w:val="26"/>
          <w:szCs w:val="26"/>
          <w:u w:val="single"/>
        </w:rPr>
      </w:pPr>
    </w:p>
    <w:p w:rsidR="0059030C" w:rsidRPr="00C65437" w:rsidRDefault="00200A01" w:rsidP="0059030C">
      <w:pPr>
        <w:spacing w:after="120"/>
        <w:contextualSpacing/>
        <w:rPr>
          <w:rFonts w:ascii="FuturaTEE" w:hAnsi="FuturaTEE"/>
          <w:i/>
          <w:color w:val="055068"/>
          <w:sz w:val="24"/>
          <w:u w:val="single"/>
        </w:rPr>
      </w:pPr>
      <w:r>
        <w:rPr>
          <w:rFonts w:asciiTheme="majorHAnsi" w:eastAsiaTheme="majorEastAsia" w:hAnsiTheme="majorHAnsi" w:cstheme="majorBidi"/>
          <w:i/>
          <w:color w:val="2E74B5" w:themeColor="accent1" w:themeShade="BF"/>
          <w:sz w:val="26"/>
          <w:szCs w:val="26"/>
          <w:u w:val="single"/>
        </w:rPr>
        <w:t>EPAC</w:t>
      </w:r>
      <w:r w:rsidR="0059030C" w:rsidRPr="00C65437">
        <w:rPr>
          <w:rFonts w:asciiTheme="majorHAnsi" w:eastAsiaTheme="majorEastAsia" w:hAnsiTheme="majorHAnsi" w:cstheme="majorBidi"/>
          <w:i/>
          <w:color w:val="2E74B5" w:themeColor="accent1" w:themeShade="BF"/>
          <w:sz w:val="26"/>
          <w:szCs w:val="26"/>
          <w:u w:val="single"/>
        </w:rPr>
        <w:t>s are not motorised vehicles</w:t>
      </w:r>
      <w:r w:rsidR="0059030C" w:rsidRPr="00C65437">
        <w:rPr>
          <w:rFonts w:ascii="FuturaTEE" w:hAnsi="FuturaTEE"/>
          <w:i/>
          <w:color w:val="055068"/>
          <w:sz w:val="24"/>
          <w:u w:val="single"/>
        </w:rPr>
        <w:t xml:space="preserve">. </w:t>
      </w:r>
    </w:p>
    <w:p w:rsidR="0059030C" w:rsidRPr="0059030C" w:rsidRDefault="0059030C" w:rsidP="0059030C">
      <w:pPr>
        <w:numPr>
          <w:ilvl w:val="0"/>
          <w:numId w:val="22"/>
        </w:numPr>
        <w:spacing w:after="120" w:line="259" w:lineRule="auto"/>
        <w:contextualSpacing/>
        <w:rPr>
          <w:rFonts w:ascii="FuturaTEE" w:hAnsi="FuturaTEE"/>
          <w:color w:val="055068"/>
          <w:sz w:val="24"/>
        </w:rPr>
      </w:pPr>
      <w:r w:rsidRPr="0059030C">
        <w:rPr>
          <w:rFonts w:ascii="FuturaTEE" w:hAnsi="FuturaTEE"/>
          <w:color w:val="055068"/>
          <w:sz w:val="24"/>
        </w:rPr>
        <w:t>They are electrically assisted bicycles that give a modest boost to cyclists up hills or into winds</w:t>
      </w:r>
    </w:p>
    <w:p w:rsidR="0059030C" w:rsidRPr="0059030C" w:rsidRDefault="0059030C" w:rsidP="0059030C">
      <w:pPr>
        <w:numPr>
          <w:ilvl w:val="0"/>
          <w:numId w:val="22"/>
        </w:numPr>
        <w:spacing w:after="120" w:line="259" w:lineRule="auto"/>
        <w:contextualSpacing/>
        <w:rPr>
          <w:rFonts w:ascii="FuturaTEE" w:hAnsi="FuturaTEE"/>
          <w:color w:val="055068"/>
          <w:sz w:val="24"/>
        </w:rPr>
      </w:pPr>
      <w:r w:rsidRPr="0059030C">
        <w:rPr>
          <w:rFonts w:ascii="FuturaTEE" w:hAnsi="FuturaTEE"/>
          <w:color w:val="055068"/>
          <w:sz w:val="24"/>
        </w:rPr>
        <w:t>They are assisted without constant power; no pedal no power.</w:t>
      </w:r>
    </w:p>
    <w:p w:rsidR="0059030C" w:rsidRPr="0059030C" w:rsidRDefault="0059030C" w:rsidP="0059030C">
      <w:pPr>
        <w:numPr>
          <w:ilvl w:val="0"/>
          <w:numId w:val="22"/>
        </w:numPr>
        <w:spacing w:after="120" w:line="259" w:lineRule="auto"/>
        <w:contextualSpacing/>
        <w:rPr>
          <w:rFonts w:ascii="FuturaTEE" w:hAnsi="FuturaTEE"/>
          <w:color w:val="055068"/>
          <w:sz w:val="24"/>
        </w:rPr>
      </w:pPr>
      <w:r w:rsidRPr="0059030C">
        <w:rPr>
          <w:rFonts w:ascii="FuturaTEE" w:hAnsi="FuturaTEE"/>
          <w:color w:val="055068"/>
          <w:sz w:val="24"/>
        </w:rPr>
        <w:t>The maximum speed and power is that of a fit, regular cyclist</w:t>
      </w:r>
    </w:p>
    <w:p w:rsidR="0059030C" w:rsidRPr="0059030C" w:rsidRDefault="0059030C" w:rsidP="0059030C">
      <w:pPr>
        <w:numPr>
          <w:ilvl w:val="0"/>
          <w:numId w:val="22"/>
        </w:numPr>
        <w:spacing w:after="120" w:line="259" w:lineRule="auto"/>
        <w:contextualSpacing/>
        <w:rPr>
          <w:rFonts w:ascii="FuturaTEE" w:hAnsi="FuturaTEE"/>
          <w:color w:val="055068"/>
          <w:sz w:val="24"/>
        </w:rPr>
      </w:pPr>
      <w:r w:rsidRPr="0059030C">
        <w:rPr>
          <w:rFonts w:ascii="FuturaTEE" w:hAnsi="FuturaTEE"/>
          <w:color w:val="055068"/>
          <w:sz w:val="24"/>
        </w:rPr>
        <w:t>Type Approval Regulation and Driving Licenses Directive specifically recognise this distinction</w:t>
      </w:r>
    </w:p>
    <w:p w:rsidR="0059030C" w:rsidRPr="00C65437" w:rsidRDefault="0059030C" w:rsidP="0059030C">
      <w:pPr>
        <w:spacing w:after="120"/>
        <w:contextualSpacing/>
        <w:rPr>
          <w:rFonts w:asciiTheme="majorHAnsi" w:eastAsiaTheme="majorEastAsia" w:hAnsiTheme="majorHAnsi" w:cstheme="majorBidi"/>
          <w:i/>
          <w:color w:val="2E74B5" w:themeColor="accent1" w:themeShade="BF"/>
          <w:sz w:val="26"/>
          <w:szCs w:val="26"/>
          <w:u w:val="single"/>
          <w:lang w:val="en-US"/>
        </w:rPr>
      </w:pPr>
      <w:r w:rsidRPr="00C65437">
        <w:rPr>
          <w:rFonts w:asciiTheme="majorHAnsi" w:eastAsiaTheme="majorEastAsia" w:hAnsiTheme="majorHAnsi" w:cstheme="majorBidi"/>
          <w:i/>
          <w:color w:val="2E74B5" w:themeColor="accent1" w:themeShade="BF"/>
          <w:sz w:val="26"/>
          <w:szCs w:val="26"/>
          <w:u w:val="single"/>
        </w:rPr>
        <w:t>Inclusion would act as a barrier to Electric</w:t>
      </w:r>
      <w:r w:rsidR="00200A01">
        <w:rPr>
          <w:rFonts w:asciiTheme="majorHAnsi" w:eastAsiaTheme="majorEastAsia" w:hAnsiTheme="majorHAnsi" w:cstheme="majorBidi"/>
          <w:i/>
          <w:color w:val="2E74B5" w:themeColor="accent1" w:themeShade="BF"/>
          <w:sz w:val="26"/>
          <w:szCs w:val="26"/>
          <w:u w:val="single"/>
        </w:rPr>
        <w:t>ally Power</w:t>
      </w:r>
      <w:r w:rsidRPr="00C65437">
        <w:rPr>
          <w:rFonts w:asciiTheme="majorHAnsi" w:eastAsiaTheme="majorEastAsia" w:hAnsiTheme="majorHAnsi" w:cstheme="majorBidi"/>
          <w:i/>
          <w:color w:val="2E74B5" w:themeColor="accent1" w:themeShade="BF"/>
          <w:sz w:val="26"/>
          <w:szCs w:val="26"/>
          <w:u w:val="single"/>
        </w:rPr>
        <w:t xml:space="preserve"> Assisted Cycles</w:t>
      </w:r>
    </w:p>
    <w:p w:rsidR="0059030C" w:rsidRPr="0010722A" w:rsidRDefault="0059030C" w:rsidP="0010722A">
      <w:pPr>
        <w:numPr>
          <w:ilvl w:val="0"/>
          <w:numId w:val="23"/>
        </w:numPr>
        <w:spacing w:after="120" w:line="259" w:lineRule="auto"/>
        <w:contextualSpacing/>
        <w:rPr>
          <w:rFonts w:ascii="FuturaTEE" w:hAnsi="FuturaTEE"/>
          <w:color w:val="055068"/>
          <w:sz w:val="24"/>
        </w:rPr>
      </w:pPr>
      <w:r w:rsidRPr="0059030C">
        <w:rPr>
          <w:rFonts w:ascii="FuturaTEE" w:hAnsi="FuturaTEE"/>
          <w:color w:val="055068"/>
          <w:sz w:val="24"/>
        </w:rPr>
        <w:t xml:space="preserve">There is evidence </w:t>
      </w:r>
      <w:r w:rsidR="00C65437">
        <w:rPr>
          <w:rFonts w:ascii="FuturaTEE" w:hAnsi="FuturaTEE"/>
          <w:color w:val="055068"/>
          <w:sz w:val="24"/>
        </w:rPr>
        <w:t xml:space="preserve">that </w:t>
      </w:r>
      <w:r w:rsidRPr="0059030C">
        <w:rPr>
          <w:rFonts w:ascii="FuturaTEE" w:hAnsi="FuturaTEE"/>
          <w:color w:val="055068"/>
          <w:sz w:val="24"/>
        </w:rPr>
        <w:t xml:space="preserve">overly oppressive regulation </w:t>
      </w:r>
      <w:r w:rsidR="00C65437">
        <w:rPr>
          <w:rFonts w:ascii="FuturaTEE" w:hAnsi="FuturaTEE"/>
          <w:color w:val="055068"/>
          <w:sz w:val="24"/>
        </w:rPr>
        <w:t>has</w:t>
      </w:r>
      <w:r w:rsidRPr="0059030C">
        <w:rPr>
          <w:rFonts w:ascii="FuturaTEE" w:hAnsi="FuturaTEE"/>
          <w:color w:val="055068"/>
          <w:sz w:val="24"/>
        </w:rPr>
        <w:t xml:space="preserve"> seen a decline in </w:t>
      </w:r>
      <w:r w:rsidR="00200A01">
        <w:rPr>
          <w:rFonts w:ascii="FuturaTEE" w:hAnsi="FuturaTEE"/>
          <w:color w:val="055068"/>
          <w:sz w:val="24"/>
        </w:rPr>
        <w:t>EPAC</w:t>
      </w:r>
      <w:r w:rsidRPr="0059030C">
        <w:rPr>
          <w:rFonts w:ascii="FuturaTEE" w:hAnsi="FuturaTEE"/>
          <w:color w:val="055068"/>
          <w:sz w:val="24"/>
        </w:rPr>
        <w:t xml:space="preserve"> </w:t>
      </w:r>
      <w:r w:rsidR="0010722A">
        <w:rPr>
          <w:rFonts w:ascii="FuturaTEE" w:hAnsi="FuturaTEE"/>
          <w:color w:val="055068"/>
          <w:sz w:val="24"/>
        </w:rPr>
        <w:t xml:space="preserve">and bicycle </w:t>
      </w:r>
      <w:r w:rsidRPr="0059030C">
        <w:rPr>
          <w:rFonts w:ascii="FuturaTEE" w:hAnsi="FuturaTEE"/>
          <w:color w:val="055068"/>
          <w:sz w:val="24"/>
        </w:rPr>
        <w:t>use</w:t>
      </w:r>
    </w:p>
    <w:p w:rsidR="0059030C" w:rsidRPr="0059030C" w:rsidRDefault="0059030C" w:rsidP="0059030C">
      <w:pPr>
        <w:numPr>
          <w:ilvl w:val="0"/>
          <w:numId w:val="23"/>
        </w:numPr>
        <w:spacing w:after="120" w:line="259" w:lineRule="auto"/>
        <w:contextualSpacing/>
        <w:rPr>
          <w:rFonts w:ascii="FuturaTEE" w:hAnsi="FuturaTEE"/>
          <w:color w:val="055068"/>
          <w:sz w:val="24"/>
        </w:rPr>
      </w:pPr>
      <w:r w:rsidRPr="0059030C">
        <w:rPr>
          <w:rFonts w:ascii="FuturaTEE" w:hAnsi="FuturaTEE"/>
          <w:color w:val="055068"/>
          <w:sz w:val="24"/>
        </w:rPr>
        <w:t xml:space="preserve">The potential health, environmental, and social benefits of shifting medium distance car journeys to </w:t>
      </w:r>
      <w:r w:rsidR="00200A01">
        <w:rPr>
          <w:rFonts w:ascii="FuturaTEE" w:hAnsi="FuturaTEE"/>
          <w:color w:val="055068"/>
          <w:sz w:val="24"/>
        </w:rPr>
        <w:t>EPAC</w:t>
      </w:r>
      <w:r w:rsidRPr="0059030C">
        <w:rPr>
          <w:rFonts w:ascii="FuturaTEE" w:hAnsi="FuturaTEE"/>
          <w:color w:val="055068"/>
          <w:sz w:val="24"/>
        </w:rPr>
        <w:t xml:space="preserve">s is huge and </w:t>
      </w:r>
      <w:r w:rsidR="00C65437">
        <w:rPr>
          <w:rFonts w:ascii="FuturaTEE" w:hAnsi="FuturaTEE"/>
          <w:color w:val="055068"/>
          <w:sz w:val="24"/>
        </w:rPr>
        <w:t>should be investigated</w:t>
      </w:r>
      <w:r w:rsidR="0010722A">
        <w:rPr>
          <w:rFonts w:ascii="FuturaTEE" w:hAnsi="FuturaTEE"/>
          <w:color w:val="055068"/>
          <w:sz w:val="24"/>
        </w:rPr>
        <w:t xml:space="preserve"> within the Commission Impact Assessment</w:t>
      </w:r>
    </w:p>
    <w:p w:rsidR="0059030C" w:rsidRPr="00C65437" w:rsidRDefault="00200A01" w:rsidP="0059030C">
      <w:pPr>
        <w:spacing w:after="120"/>
        <w:contextualSpacing/>
        <w:rPr>
          <w:rFonts w:asciiTheme="majorHAnsi" w:eastAsiaTheme="majorEastAsia" w:hAnsiTheme="majorHAnsi" w:cstheme="majorBidi"/>
          <w:i/>
          <w:color w:val="2E74B5" w:themeColor="accent1" w:themeShade="BF"/>
          <w:sz w:val="26"/>
          <w:szCs w:val="26"/>
          <w:u w:val="single"/>
        </w:rPr>
      </w:pPr>
      <w:r>
        <w:rPr>
          <w:rFonts w:asciiTheme="majorHAnsi" w:eastAsiaTheme="majorEastAsia" w:hAnsiTheme="majorHAnsi" w:cstheme="majorBidi"/>
          <w:i/>
          <w:color w:val="2E74B5" w:themeColor="accent1" w:themeShade="BF"/>
          <w:sz w:val="26"/>
          <w:szCs w:val="26"/>
          <w:u w:val="single"/>
        </w:rPr>
        <w:t>EPAC</w:t>
      </w:r>
      <w:r w:rsidR="0059030C" w:rsidRPr="00C65437">
        <w:rPr>
          <w:rFonts w:asciiTheme="majorHAnsi" w:eastAsiaTheme="majorEastAsia" w:hAnsiTheme="majorHAnsi" w:cstheme="majorBidi"/>
          <w:i/>
          <w:color w:val="2E74B5" w:themeColor="accent1" w:themeShade="BF"/>
          <w:sz w:val="26"/>
          <w:szCs w:val="26"/>
          <w:u w:val="single"/>
        </w:rPr>
        <w:t>s are not an overly risky mode of transport</w:t>
      </w:r>
    </w:p>
    <w:p w:rsidR="0059030C" w:rsidRPr="00884B61" w:rsidRDefault="00200A01" w:rsidP="00884B61">
      <w:pPr>
        <w:numPr>
          <w:ilvl w:val="0"/>
          <w:numId w:val="24"/>
        </w:numPr>
        <w:spacing w:after="120" w:line="259" w:lineRule="auto"/>
        <w:contextualSpacing/>
        <w:rPr>
          <w:rFonts w:ascii="FuturaTEE" w:hAnsi="FuturaTEE"/>
          <w:color w:val="055068"/>
          <w:sz w:val="24"/>
        </w:rPr>
      </w:pPr>
      <w:r>
        <w:rPr>
          <w:rFonts w:ascii="FuturaTEE" w:hAnsi="FuturaTEE"/>
          <w:color w:val="055068"/>
          <w:sz w:val="24"/>
        </w:rPr>
        <w:t>EPAC</w:t>
      </w:r>
      <w:r w:rsidR="00884B61">
        <w:rPr>
          <w:rFonts w:ascii="FuturaTEE" w:hAnsi="FuturaTEE"/>
          <w:color w:val="055068"/>
          <w:sz w:val="24"/>
        </w:rPr>
        <w:t xml:space="preserve">s </w:t>
      </w:r>
      <w:r w:rsidR="0010722A">
        <w:rPr>
          <w:rFonts w:ascii="FuturaTEE" w:hAnsi="FuturaTEE"/>
          <w:color w:val="055068"/>
          <w:sz w:val="24"/>
        </w:rPr>
        <w:t xml:space="preserve">and bicycles </w:t>
      </w:r>
      <w:r w:rsidR="00884B61">
        <w:rPr>
          <w:rFonts w:ascii="FuturaTEE" w:hAnsi="FuturaTEE"/>
          <w:color w:val="055068"/>
          <w:sz w:val="24"/>
        </w:rPr>
        <w:t xml:space="preserve">have a </w:t>
      </w:r>
      <w:r w:rsidR="0010722A">
        <w:rPr>
          <w:rFonts w:ascii="FuturaTEE" w:hAnsi="FuturaTEE"/>
          <w:color w:val="055068"/>
          <w:sz w:val="24"/>
        </w:rPr>
        <w:t>completely different third party liability risk than motor vehicles</w:t>
      </w:r>
    </w:p>
    <w:p w:rsidR="0059030C" w:rsidRPr="00C65437" w:rsidRDefault="0059030C" w:rsidP="0059030C">
      <w:pPr>
        <w:spacing w:after="120"/>
        <w:contextualSpacing/>
        <w:rPr>
          <w:rFonts w:asciiTheme="majorHAnsi" w:eastAsiaTheme="majorEastAsia" w:hAnsiTheme="majorHAnsi" w:cstheme="majorBidi"/>
          <w:i/>
          <w:color w:val="2E74B5" w:themeColor="accent1" w:themeShade="BF"/>
          <w:sz w:val="26"/>
          <w:szCs w:val="26"/>
          <w:u w:val="single"/>
        </w:rPr>
      </w:pPr>
      <w:r w:rsidRPr="00C65437">
        <w:rPr>
          <w:rFonts w:asciiTheme="majorHAnsi" w:eastAsiaTheme="majorEastAsia" w:hAnsiTheme="majorHAnsi" w:cstheme="majorBidi"/>
          <w:i/>
          <w:color w:val="2E74B5" w:themeColor="accent1" w:themeShade="BF"/>
          <w:sz w:val="26"/>
          <w:szCs w:val="26"/>
          <w:u w:val="single"/>
        </w:rPr>
        <w:t>Inclusion will increase administrative burden</w:t>
      </w:r>
    </w:p>
    <w:p w:rsidR="0059030C" w:rsidRPr="0059030C" w:rsidRDefault="0059030C" w:rsidP="0059030C">
      <w:pPr>
        <w:numPr>
          <w:ilvl w:val="0"/>
          <w:numId w:val="23"/>
        </w:numPr>
        <w:spacing w:after="120" w:line="259" w:lineRule="auto"/>
        <w:contextualSpacing/>
        <w:rPr>
          <w:rFonts w:ascii="FuturaTEE" w:hAnsi="FuturaTEE"/>
          <w:color w:val="055068"/>
          <w:sz w:val="24"/>
        </w:rPr>
      </w:pPr>
      <w:r w:rsidRPr="0059030C">
        <w:rPr>
          <w:rFonts w:ascii="FuturaTEE" w:hAnsi="FuturaTEE"/>
          <w:color w:val="055068"/>
          <w:sz w:val="24"/>
        </w:rPr>
        <w:t xml:space="preserve">Inclusion of </w:t>
      </w:r>
      <w:r w:rsidR="00200A01">
        <w:rPr>
          <w:rFonts w:ascii="FuturaTEE" w:hAnsi="FuturaTEE"/>
          <w:color w:val="055068"/>
          <w:sz w:val="24"/>
        </w:rPr>
        <w:t>EPAC</w:t>
      </w:r>
      <w:r w:rsidRPr="0059030C">
        <w:rPr>
          <w:rFonts w:ascii="FuturaTEE" w:hAnsi="FuturaTEE"/>
          <w:color w:val="055068"/>
          <w:sz w:val="24"/>
        </w:rPr>
        <w:t>s could cause burdens on regulatory authorities, confusion amongst millions of riders, and a patchwork of regulations and rules across the EU</w:t>
      </w:r>
      <w:r w:rsidR="00C65437">
        <w:rPr>
          <w:rFonts w:ascii="FuturaTEE" w:hAnsi="FuturaTEE"/>
          <w:color w:val="055068"/>
          <w:sz w:val="24"/>
        </w:rPr>
        <w:t>; contrary to the Refit Programme</w:t>
      </w:r>
    </w:p>
    <w:p w:rsidR="0059030C" w:rsidRDefault="0059030C" w:rsidP="0059030C">
      <w:pPr>
        <w:numPr>
          <w:ilvl w:val="0"/>
          <w:numId w:val="23"/>
        </w:numPr>
        <w:spacing w:after="120" w:line="259" w:lineRule="auto"/>
        <w:contextualSpacing/>
        <w:rPr>
          <w:rFonts w:ascii="FuturaTEE" w:hAnsi="FuturaTEE"/>
          <w:color w:val="055068"/>
          <w:sz w:val="24"/>
        </w:rPr>
      </w:pPr>
      <w:r w:rsidRPr="0059030C">
        <w:rPr>
          <w:rFonts w:ascii="FuturaTEE" w:hAnsi="FuturaTEE"/>
          <w:color w:val="055068"/>
          <w:sz w:val="24"/>
        </w:rPr>
        <w:t xml:space="preserve">Most </w:t>
      </w:r>
      <w:r w:rsidR="00200A01">
        <w:rPr>
          <w:rFonts w:ascii="FuturaTEE" w:hAnsi="FuturaTEE"/>
          <w:color w:val="055068"/>
          <w:sz w:val="24"/>
        </w:rPr>
        <w:t>EPAC</w:t>
      </w:r>
      <w:r w:rsidRPr="0059030C">
        <w:rPr>
          <w:rFonts w:ascii="FuturaTEE" w:hAnsi="FuturaTEE"/>
          <w:color w:val="055068"/>
          <w:sz w:val="24"/>
        </w:rPr>
        <w:t>s are already currently insured under personal, home, or travel insurance. Inclusion could criminalise all those who are currently covered</w:t>
      </w:r>
    </w:p>
    <w:p w:rsidR="0010722A" w:rsidRPr="0059030C" w:rsidRDefault="0010722A" w:rsidP="0059030C">
      <w:pPr>
        <w:numPr>
          <w:ilvl w:val="0"/>
          <w:numId w:val="23"/>
        </w:numPr>
        <w:spacing w:after="120" w:line="259" w:lineRule="auto"/>
        <w:contextualSpacing/>
        <w:rPr>
          <w:rFonts w:ascii="FuturaTEE" w:hAnsi="FuturaTEE"/>
          <w:color w:val="055068"/>
          <w:sz w:val="24"/>
        </w:rPr>
      </w:pPr>
      <w:r>
        <w:rPr>
          <w:rFonts w:ascii="FuturaTEE" w:hAnsi="FuturaTEE"/>
          <w:color w:val="055068"/>
          <w:sz w:val="24"/>
        </w:rPr>
        <w:t>Inclusion of EPACs would question the context of ‘strict liability’ legislation in Member States</w:t>
      </w:r>
    </w:p>
    <w:p w:rsidR="0059030C" w:rsidRPr="0059030C" w:rsidRDefault="0059030C" w:rsidP="0059030C">
      <w:pPr>
        <w:numPr>
          <w:ilvl w:val="0"/>
          <w:numId w:val="23"/>
        </w:numPr>
        <w:spacing w:after="120" w:line="259" w:lineRule="auto"/>
        <w:contextualSpacing/>
        <w:rPr>
          <w:rFonts w:ascii="FuturaTEE" w:hAnsi="FuturaTEE"/>
          <w:color w:val="055068"/>
          <w:sz w:val="24"/>
        </w:rPr>
      </w:pPr>
      <w:r w:rsidRPr="0059030C">
        <w:rPr>
          <w:rFonts w:ascii="FuturaTEE" w:hAnsi="FuturaTEE"/>
          <w:color w:val="055068"/>
          <w:sz w:val="24"/>
        </w:rPr>
        <w:t xml:space="preserve">Relying on Member States to use Article 5 </w:t>
      </w:r>
      <w:r w:rsidR="0010722A">
        <w:rPr>
          <w:rFonts w:ascii="FuturaTEE" w:hAnsi="FuturaTEE"/>
          <w:color w:val="055068"/>
          <w:sz w:val="24"/>
        </w:rPr>
        <w:t xml:space="preserve">of the Directive </w:t>
      </w:r>
      <w:bookmarkStart w:id="0" w:name="_GoBack"/>
      <w:bookmarkEnd w:id="0"/>
      <w:r w:rsidRPr="0059030C">
        <w:rPr>
          <w:rFonts w:ascii="FuturaTEE" w:hAnsi="FuturaTEE"/>
          <w:color w:val="055068"/>
          <w:sz w:val="24"/>
        </w:rPr>
        <w:t xml:space="preserve">to exempt certain vehicles from the Directive could leave  a patch work of legislation and uncertainty for users across the EU </w:t>
      </w:r>
    </w:p>
    <w:p w:rsidR="00C65437" w:rsidRDefault="00C65437" w:rsidP="0059030C">
      <w:pPr>
        <w:spacing w:after="120"/>
        <w:contextualSpacing/>
        <w:rPr>
          <w:rFonts w:asciiTheme="majorHAnsi" w:eastAsiaTheme="majorEastAsia" w:hAnsiTheme="majorHAnsi" w:cstheme="majorBidi"/>
          <w:color w:val="2E74B5" w:themeColor="accent1" w:themeShade="BF"/>
          <w:sz w:val="26"/>
          <w:szCs w:val="26"/>
        </w:rPr>
      </w:pPr>
    </w:p>
    <w:p w:rsidR="0059030C" w:rsidRPr="00C65437" w:rsidRDefault="0059030C" w:rsidP="0059030C">
      <w:pPr>
        <w:spacing w:after="120"/>
        <w:contextualSpacing/>
        <w:rPr>
          <w:rFonts w:asciiTheme="majorHAnsi" w:eastAsiaTheme="majorEastAsia" w:hAnsiTheme="majorHAnsi" w:cstheme="majorBidi"/>
          <w:i/>
          <w:color w:val="2E74B5" w:themeColor="accent1" w:themeShade="BF"/>
          <w:sz w:val="26"/>
          <w:szCs w:val="26"/>
          <w:u w:val="single"/>
        </w:rPr>
      </w:pPr>
      <w:r w:rsidRPr="00C65437">
        <w:rPr>
          <w:rFonts w:asciiTheme="majorHAnsi" w:eastAsiaTheme="majorEastAsia" w:hAnsiTheme="majorHAnsi" w:cstheme="majorBidi"/>
          <w:i/>
          <w:color w:val="2E74B5" w:themeColor="accent1" w:themeShade="BF"/>
          <w:sz w:val="26"/>
          <w:szCs w:val="26"/>
          <w:u w:val="single"/>
        </w:rPr>
        <w:t xml:space="preserve">ECF Recommendations </w:t>
      </w:r>
    </w:p>
    <w:p w:rsidR="0010722A" w:rsidRDefault="0010722A" w:rsidP="0059030C">
      <w:pPr>
        <w:spacing w:after="120"/>
        <w:contextualSpacing/>
        <w:rPr>
          <w:rFonts w:ascii="FuturaTEE" w:hAnsi="FuturaTEE"/>
          <w:color w:val="055068"/>
          <w:sz w:val="24"/>
        </w:rPr>
      </w:pPr>
    </w:p>
    <w:p w:rsidR="0059030C" w:rsidRPr="0059030C" w:rsidRDefault="0059030C" w:rsidP="0059030C">
      <w:pPr>
        <w:spacing w:after="120"/>
        <w:contextualSpacing/>
        <w:rPr>
          <w:rFonts w:ascii="FuturaTEE" w:hAnsi="FuturaTEE"/>
          <w:color w:val="055068"/>
          <w:sz w:val="24"/>
        </w:rPr>
      </w:pPr>
      <w:r w:rsidRPr="0059030C">
        <w:rPr>
          <w:rFonts w:ascii="FuturaTEE" w:hAnsi="FuturaTEE"/>
          <w:color w:val="055068"/>
          <w:sz w:val="24"/>
        </w:rPr>
        <w:t>ECF recommends the following changes to the text in the definition of a ‘motor vehicle’ in the Directive “</w:t>
      </w:r>
    </w:p>
    <w:p w:rsidR="0059030C" w:rsidRPr="0059030C" w:rsidRDefault="0059030C" w:rsidP="0059030C">
      <w:pPr>
        <w:spacing w:after="120"/>
        <w:contextualSpacing/>
        <w:rPr>
          <w:rFonts w:ascii="FuturaTEE" w:hAnsi="FuturaTEE"/>
          <w:color w:val="055068"/>
          <w:sz w:val="24"/>
        </w:rPr>
      </w:pPr>
    </w:p>
    <w:p w:rsidR="00C65437" w:rsidRDefault="0059030C" w:rsidP="00C65437">
      <w:pPr>
        <w:spacing w:after="120"/>
        <w:contextualSpacing/>
        <w:rPr>
          <w:rFonts w:ascii="FuturaTEE" w:hAnsi="FuturaTEE"/>
          <w:color w:val="055068"/>
          <w:sz w:val="24"/>
        </w:rPr>
      </w:pPr>
      <w:r w:rsidRPr="0059030C">
        <w:rPr>
          <w:rFonts w:ascii="FuturaTEE" w:hAnsi="FuturaTEE"/>
          <w:color w:val="055068"/>
          <w:sz w:val="24"/>
          <w:lang w:val="en-US"/>
        </w:rPr>
        <w:t xml:space="preserve">“…any motor vehicle intended for travel on </w:t>
      </w:r>
      <w:r w:rsidRPr="0059030C">
        <w:rPr>
          <w:rFonts w:ascii="FuturaTEE" w:hAnsi="FuturaTEE"/>
          <w:strike/>
          <w:color w:val="055068"/>
          <w:sz w:val="24"/>
          <w:lang w:val="en-US"/>
        </w:rPr>
        <w:t>land</w:t>
      </w:r>
      <w:r w:rsidRPr="0059030C">
        <w:rPr>
          <w:rFonts w:ascii="FuturaTEE" w:hAnsi="FuturaTEE"/>
          <w:color w:val="055068"/>
          <w:sz w:val="24"/>
          <w:lang w:val="en-US"/>
        </w:rPr>
        <w:t xml:space="preserve"> </w:t>
      </w:r>
      <w:r w:rsidRPr="0059030C">
        <w:rPr>
          <w:rFonts w:ascii="FuturaTEE" w:hAnsi="FuturaTEE"/>
          <w:b/>
          <w:i/>
          <w:color w:val="055068"/>
          <w:sz w:val="24"/>
          <w:u w:val="single"/>
          <w:lang w:val="en-US"/>
        </w:rPr>
        <w:t>on public roads</w:t>
      </w:r>
      <w:r w:rsidRPr="0059030C">
        <w:rPr>
          <w:rFonts w:ascii="FuturaTEE" w:hAnsi="FuturaTEE"/>
          <w:color w:val="055068"/>
          <w:sz w:val="24"/>
          <w:lang w:val="en-US"/>
        </w:rPr>
        <w:t xml:space="preserve"> and propelled </w:t>
      </w:r>
      <w:r w:rsidRPr="0059030C">
        <w:rPr>
          <w:rFonts w:ascii="FuturaTEE" w:hAnsi="FuturaTEE"/>
          <w:b/>
          <w:i/>
          <w:color w:val="055068"/>
          <w:sz w:val="24"/>
          <w:u w:val="single"/>
          <w:lang w:val="en-US"/>
        </w:rPr>
        <w:t>solely</w:t>
      </w:r>
      <w:r w:rsidRPr="0059030C">
        <w:rPr>
          <w:rFonts w:ascii="FuturaTEE" w:hAnsi="FuturaTEE"/>
          <w:color w:val="055068"/>
          <w:sz w:val="24"/>
          <w:lang w:val="en-US"/>
        </w:rPr>
        <w:t xml:space="preserve"> by mechanical power </w:t>
      </w:r>
      <w:r w:rsidRPr="0059030C">
        <w:rPr>
          <w:rFonts w:ascii="FuturaTEE" w:hAnsi="FuturaTEE"/>
          <w:b/>
          <w:i/>
          <w:color w:val="055068"/>
          <w:sz w:val="24"/>
          <w:u w:val="single"/>
          <w:lang w:val="en-US"/>
        </w:rPr>
        <w:t>or requires EU type approval conformity</w:t>
      </w:r>
      <w:r w:rsidRPr="0059030C">
        <w:rPr>
          <w:rFonts w:ascii="FuturaTEE" w:hAnsi="FuturaTEE"/>
          <w:color w:val="055068"/>
          <w:sz w:val="24"/>
          <w:lang w:val="en-US"/>
        </w:rPr>
        <w:t xml:space="preserve"> but not running on rails, and any trailer whether or not coupled”</w:t>
      </w:r>
    </w:p>
    <w:p w:rsidR="00C65437" w:rsidRDefault="00C65437" w:rsidP="00C65437">
      <w:pPr>
        <w:spacing w:after="120"/>
        <w:contextualSpacing/>
        <w:rPr>
          <w:rFonts w:ascii="FuturaBold Ro" w:hAnsi="FuturaBold Ro" w:cs="Arial"/>
          <w:bCs/>
          <w:color w:val="5B9BD5" w:themeColor="accent1"/>
          <w:spacing w:val="-22"/>
          <w:sz w:val="36"/>
          <w:szCs w:val="32"/>
        </w:rPr>
      </w:pPr>
    </w:p>
    <w:p w:rsidR="009D4ABE" w:rsidRPr="00C65437" w:rsidRDefault="0059030C" w:rsidP="00C65437">
      <w:pPr>
        <w:spacing w:after="120"/>
        <w:contextualSpacing/>
        <w:rPr>
          <w:rFonts w:ascii="FuturaTEE" w:hAnsi="FuturaTEE"/>
          <w:color w:val="055068"/>
          <w:sz w:val="24"/>
        </w:rPr>
      </w:pPr>
      <w:r>
        <w:rPr>
          <w:rFonts w:ascii="FuturaBold Ro" w:hAnsi="FuturaBold Ro" w:cs="Arial"/>
          <w:bCs/>
          <w:color w:val="5B9BD5" w:themeColor="accent1"/>
          <w:spacing w:val="-22"/>
          <w:sz w:val="36"/>
          <w:szCs w:val="32"/>
        </w:rPr>
        <w:lastRenderedPageBreak/>
        <w:t>Executive summary</w:t>
      </w:r>
    </w:p>
    <w:p w:rsidR="009D4ABE" w:rsidRDefault="009D4ABE" w:rsidP="00E202EB">
      <w:pPr>
        <w:pStyle w:val="Paragraphtext"/>
        <w:jc w:val="left"/>
        <w:rPr>
          <w:lang w:val="en-GB"/>
        </w:rPr>
      </w:pPr>
    </w:p>
    <w:p w:rsidR="00931110" w:rsidRDefault="00931110" w:rsidP="00931110">
      <w:pPr>
        <w:pStyle w:val="Paragraphtext"/>
        <w:rPr>
          <w:lang w:val="en-GB"/>
        </w:rPr>
      </w:pPr>
      <w:r>
        <w:rPr>
          <w:lang w:val="en-GB"/>
        </w:rPr>
        <w:t>The Motor Vehicle Insurance Directive (MID)</w:t>
      </w:r>
      <w:r w:rsidR="00200A01">
        <w:rPr>
          <w:lang w:val="en-GB"/>
        </w:rPr>
        <w:t xml:space="preserve"> </w:t>
      </w:r>
      <w:r>
        <w:rPr>
          <w:lang w:val="en-GB"/>
        </w:rPr>
        <w:t>ensures that when</w:t>
      </w:r>
      <w:r w:rsidRPr="00931110">
        <w:rPr>
          <w:lang w:val="en-GB"/>
        </w:rPr>
        <w:t xml:space="preserve"> a vehicle is insured for third party liability in one of the Member States, this cover must apply in the territory of all Member States</w:t>
      </w:r>
      <w:r>
        <w:rPr>
          <w:lang w:val="en-GB"/>
        </w:rPr>
        <w:t>. ECF very much supports this Directive as a way of ensuring cyclists that are seriously injured in crashes with motor vehicle will have reliable access to compensation from personal and material damages.</w:t>
      </w:r>
    </w:p>
    <w:p w:rsidR="00931110" w:rsidRDefault="00931110" w:rsidP="00931110">
      <w:pPr>
        <w:pStyle w:val="Paragraphtext"/>
        <w:rPr>
          <w:lang w:val="en-GB"/>
        </w:rPr>
      </w:pPr>
    </w:p>
    <w:p w:rsidR="009D4ABE" w:rsidRDefault="00931110" w:rsidP="00931110">
      <w:pPr>
        <w:pStyle w:val="Paragraphtext"/>
        <w:rPr>
          <w:lang w:val="en-GB"/>
        </w:rPr>
      </w:pPr>
      <w:r>
        <w:rPr>
          <w:lang w:val="en-GB"/>
        </w:rPr>
        <w:t xml:space="preserve">Following a recent decision by the European Courts there is uncertainty over how Member States should be interpreting the Motor Vehicle Insurance Directive. </w:t>
      </w:r>
      <w:r w:rsidR="00884B61">
        <w:rPr>
          <w:lang w:val="en-GB"/>
        </w:rPr>
        <w:t xml:space="preserve">The European </w:t>
      </w:r>
      <w:r w:rsidR="005B445D">
        <w:rPr>
          <w:lang w:val="en-GB"/>
        </w:rPr>
        <w:t>Commission</w:t>
      </w:r>
      <w:r w:rsidR="00884B61">
        <w:rPr>
          <w:lang w:val="en-GB"/>
        </w:rPr>
        <w:t xml:space="preserve"> will as a consequence be reviewing under the Refit Programme the legislation with a view to clarifying the </w:t>
      </w:r>
      <w:r>
        <w:rPr>
          <w:lang w:val="en-GB"/>
        </w:rPr>
        <w:t>d</w:t>
      </w:r>
      <w:r w:rsidR="00884B61">
        <w:rPr>
          <w:lang w:val="en-GB"/>
        </w:rPr>
        <w:t xml:space="preserve">irective. One of the possibilities is that the Commission will widen the definition of what a motor vehicle is which will include </w:t>
      </w:r>
      <w:r w:rsidR="00200A01">
        <w:rPr>
          <w:lang w:val="en-GB"/>
        </w:rPr>
        <w:t>Electrically</w:t>
      </w:r>
      <w:r w:rsidR="00884B61">
        <w:rPr>
          <w:lang w:val="en-GB"/>
        </w:rPr>
        <w:t xml:space="preserve"> </w:t>
      </w:r>
      <w:r w:rsidR="00200A01">
        <w:rPr>
          <w:lang w:val="en-GB"/>
        </w:rPr>
        <w:t xml:space="preserve">Power </w:t>
      </w:r>
      <w:r w:rsidR="00884B61">
        <w:rPr>
          <w:lang w:val="en-GB"/>
        </w:rPr>
        <w:t>Assisted Cycles (</w:t>
      </w:r>
      <w:r w:rsidR="00200A01">
        <w:rPr>
          <w:lang w:val="en-GB"/>
        </w:rPr>
        <w:t>EPAC</w:t>
      </w:r>
      <w:r w:rsidR="00884B61">
        <w:rPr>
          <w:lang w:val="en-GB"/>
        </w:rPr>
        <w:t>s also known as pedelecs).</w:t>
      </w:r>
      <w:r>
        <w:rPr>
          <w:lang w:val="en-GB"/>
        </w:rPr>
        <w:t xml:space="preserve"> Consequently this will mean that all European EPACs being used on European roads will be illegal unless they have acquired motor vehicle third party liability insurance.</w:t>
      </w:r>
    </w:p>
    <w:p w:rsidR="00884B61" w:rsidRDefault="00884B61" w:rsidP="00E202EB">
      <w:pPr>
        <w:pStyle w:val="Paragraphtext"/>
        <w:jc w:val="left"/>
        <w:rPr>
          <w:lang w:val="en-GB"/>
        </w:rPr>
      </w:pPr>
    </w:p>
    <w:p w:rsidR="00884B61" w:rsidRDefault="00884B61" w:rsidP="00E202EB">
      <w:pPr>
        <w:pStyle w:val="Paragraphtext"/>
        <w:jc w:val="left"/>
        <w:rPr>
          <w:lang w:val="en-GB"/>
        </w:rPr>
      </w:pPr>
      <w:r>
        <w:rPr>
          <w:lang w:val="en-GB"/>
        </w:rPr>
        <w:t>ECF believes that this would be a gross</w:t>
      </w:r>
      <w:r w:rsidR="00931110">
        <w:rPr>
          <w:lang w:val="en-GB"/>
        </w:rPr>
        <w:t xml:space="preserve"> error, that it is an over-regulatory burden on a growing and healthy, environmentally beneficial mode of transport t</w:t>
      </w:r>
      <w:r>
        <w:rPr>
          <w:lang w:val="en-GB"/>
        </w:rPr>
        <w:t xml:space="preserve">hat would create a barrier for users and increase administrative burden on public authorities. It could lead to a reduction in the number of </w:t>
      </w:r>
      <w:r w:rsidR="00200A01">
        <w:rPr>
          <w:lang w:val="en-GB"/>
        </w:rPr>
        <w:t>EPAC</w:t>
      </w:r>
      <w:r>
        <w:rPr>
          <w:lang w:val="en-GB"/>
        </w:rPr>
        <w:t xml:space="preserve"> users and act as a barrier to the continued growth of these bikes. The European Commissions has state</w:t>
      </w:r>
      <w:r w:rsidR="00931110">
        <w:rPr>
          <w:lang w:val="en-GB"/>
        </w:rPr>
        <w:t>d</w:t>
      </w:r>
      <w:r>
        <w:rPr>
          <w:lang w:val="en-GB"/>
        </w:rPr>
        <w:t xml:space="preserve"> that there would be no environmental, social, nor health </w:t>
      </w:r>
      <w:r w:rsidR="00931110">
        <w:rPr>
          <w:lang w:val="en-GB"/>
        </w:rPr>
        <w:t xml:space="preserve">consequences </w:t>
      </w:r>
      <w:r>
        <w:rPr>
          <w:lang w:val="en-GB"/>
        </w:rPr>
        <w:t xml:space="preserve">if the scope were to be widened. We believe that this is erroneous and that the impact assessment </w:t>
      </w:r>
      <w:r w:rsidR="00931110">
        <w:rPr>
          <w:lang w:val="en-GB"/>
        </w:rPr>
        <w:t xml:space="preserve">necessary for the Refit Programme </w:t>
      </w:r>
      <w:r>
        <w:rPr>
          <w:lang w:val="en-GB"/>
        </w:rPr>
        <w:t xml:space="preserve">will have to </w:t>
      </w:r>
      <w:r w:rsidR="00931110">
        <w:rPr>
          <w:lang w:val="en-GB"/>
        </w:rPr>
        <w:t>review the impact that a barrier to EPAC growth would have</w:t>
      </w:r>
      <w:r>
        <w:rPr>
          <w:lang w:val="en-GB"/>
        </w:rPr>
        <w:t xml:space="preserve">. </w:t>
      </w:r>
    </w:p>
    <w:p w:rsidR="00931110" w:rsidRDefault="00931110" w:rsidP="00E202EB">
      <w:pPr>
        <w:pStyle w:val="Paragraphtext"/>
        <w:jc w:val="left"/>
        <w:rPr>
          <w:lang w:val="en-GB"/>
        </w:rPr>
      </w:pPr>
    </w:p>
    <w:p w:rsidR="00931110" w:rsidRDefault="00931110" w:rsidP="00AD3AB6">
      <w:pPr>
        <w:pStyle w:val="Paragraphtext"/>
        <w:rPr>
          <w:lang w:val="en-GB"/>
        </w:rPr>
      </w:pPr>
      <w:r>
        <w:rPr>
          <w:lang w:val="en-GB"/>
        </w:rPr>
        <w:t xml:space="preserve">Ultimately ECF would support an exclusion of EPAC bicycles </w:t>
      </w:r>
      <w:r w:rsidR="00AD3AB6" w:rsidRPr="00AD3AB6">
        <w:rPr>
          <w:lang w:val="en-GB"/>
        </w:rPr>
        <w:t xml:space="preserve">which are equipped </w:t>
      </w:r>
      <w:r w:rsidR="00AD3AB6">
        <w:rPr>
          <w:lang w:val="en-GB"/>
        </w:rPr>
        <w:t>“…</w:t>
      </w:r>
      <w:r w:rsidR="00AD3AB6" w:rsidRPr="00AD3AB6">
        <w:rPr>
          <w:lang w:val="en-GB"/>
        </w:rPr>
        <w:t>with an auxiliary electric motor having a maximum continuous rated power of less than or equal to 250 W, where the output of the motor is cut off when the cyclist stops pedalling and is otherwise progressively reduced and finally cut off before the vehicle speed reaches 25 km/h</w:t>
      </w:r>
      <w:r w:rsidR="00AD3AB6">
        <w:rPr>
          <w:lang w:val="en-GB"/>
        </w:rPr>
        <w:t xml:space="preserve">” as stated in </w:t>
      </w:r>
      <w:r w:rsidR="00AD3AB6" w:rsidRPr="00AD3AB6">
        <w:rPr>
          <w:lang w:val="en-GB"/>
        </w:rPr>
        <w:t>Regulation (EU) No 168/2013</w:t>
      </w:r>
      <w:r w:rsidR="00AD3AB6">
        <w:rPr>
          <w:lang w:val="en-GB"/>
        </w:rPr>
        <w:t xml:space="preserve"> </w:t>
      </w:r>
      <w:r w:rsidR="00AD3AB6" w:rsidRPr="00AD3AB6">
        <w:rPr>
          <w:lang w:val="en-GB"/>
        </w:rPr>
        <w:t>on the approval and market surveillance of two- or three-wheel vehicles and quadricycles</w:t>
      </w:r>
      <w:r w:rsidR="00AD3AB6">
        <w:rPr>
          <w:lang w:val="en-GB"/>
        </w:rPr>
        <w:t>.</w:t>
      </w:r>
    </w:p>
    <w:p w:rsidR="009D4ABE" w:rsidRDefault="009D4ABE" w:rsidP="00E202EB">
      <w:pPr>
        <w:pStyle w:val="Paragraphtext"/>
        <w:jc w:val="left"/>
        <w:rPr>
          <w:lang w:val="en-GB"/>
        </w:rPr>
      </w:pPr>
    </w:p>
    <w:p w:rsidR="00884B61" w:rsidRDefault="0058416E" w:rsidP="0058416E">
      <w:pPr>
        <w:pStyle w:val="ECFboldtext"/>
      </w:pPr>
      <w:r>
        <w:t>The costs to widening the scope to include EPACs</w:t>
      </w:r>
    </w:p>
    <w:p w:rsidR="009D4ABE" w:rsidRDefault="009D4ABE" w:rsidP="00E202EB">
      <w:pPr>
        <w:pStyle w:val="Paragraphtext"/>
        <w:jc w:val="left"/>
        <w:rPr>
          <w:lang w:val="en-GB"/>
        </w:rPr>
      </w:pPr>
    </w:p>
    <w:p w:rsidR="009D4ABE" w:rsidRDefault="002810CF" w:rsidP="0058416E">
      <w:pPr>
        <w:pStyle w:val="Paragraphtext"/>
        <w:numPr>
          <w:ilvl w:val="0"/>
          <w:numId w:val="25"/>
        </w:numPr>
        <w:jc w:val="left"/>
        <w:rPr>
          <w:lang w:val="en-GB"/>
        </w:rPr>
      </w:pPr>
      <w:r>
        <w:rPr>
          <w:lang w:val="en-GB"/>
        </w:rPr>
        <w:t xml:space="preserve">Stop to the increasing </w:t>
      </w:r>
      <w:r w:rsidR="0010722A">
        <w:rPr>
          <w:lang w:val="en-GB"/>
        </w:rPr>
        <w:t>shift of</w:t>
      </w:r>
      <w:r w:rsidR="0058416E">
        <w:rPr>
          <w:lang w:val="en-GB"/>
        </w:rPr>
        <w:t xml:space="preserve"> EPACs </w:t>
      </w:r>
      <w:r w:rsidR="0010722A">
        <w:rPr>
          <w:lang w:val="en-GB"/>
        </w:rPr>
        <w:t xml:space="preserve">from motor vehicles </w:t>
      </w:r>
      <w:r w:rsidR="0058416E">
        <w:rPr>
          <w:lang w:val="en-GB"/>
        </w:rPr>
        <w:t>on our roads</w:t>
      </w:r>
    </w:p>
    <w:p w:rsidR="0058416E" w:rsidRDefault="0058416E" w:rsidP="0058416E">
      <w:pPr>
        <w:pStyle w:val="Paragraphtext"/>
        <w:numPr>
          <w:ilvl w:val="0"/>
          <w:numId w:val="25"/>
        </w:numPr>
        <w:jc w:val="left"/>
        <w:rPr>
          <w:lang w:val="en-GB"/>
        </w:rPr>
      </w:pPr>
      <w:r>
        <w:rPr>
          <w:lang w:val="en-GB"/>
        </w:rPr>
        <w:t xml:space="preserve">Loss of health, environmental and social  benefits due to </w:t>
      </w:r>
      <w:r w:rsidR="002810CF">
        <w:rPr>
          <w:lang w:val="en-GB"/>
        </w:rPr>
        <w:t xml:space="preserve">a </w:t>
      </w:r>
      <w:r>
        <w:rPr>
          <w:lang w:val="en-GB"/>
        </w:rPr>
        <w:t xml:space="preserve">barrier to </w:t>
      </w:r>
      <w:r w:rsidR="002810CF">
        <w:rPr>
          <w:lang w:val="en-GB"/>
        </w:rPr>
        <w:t xml:space="preserve">an </w:t>
      </w:r>
      <w:r>
        <w:rPr>
          <w:lang w:val="en-GB"/>
        </w:rPr>
        <w:t>active mode of transport</w:t>
      </w:r>
    </w:p>
    <w:p w:rsidR="0058416E" w:rsidRDefault="0058416E" w:rsidP="0058416E">
      <w:pPr>
        <w:pStyle w:val="Paragraphtext"/>
        <w:numPr>
          <w:ilvl w:val="0"/>
          <w:numId w:val="25"/>
        </w:numPr>
        <w:jc w:val="left"/>
        <w:rPr>
          <w:lang w:val="en-GB"/>
        </w:rPr>
      </w:pPr>
      <w:r>
        <w:rPr>
          <w:lang w:val="en-GB"/>
        </w:rPr>
        <w:t>Increased administrative burden for public authorities and users</w:t>
      </w:r>
    </w:p>
    <w:p w:rsidR="0058416E" w:rsidRDefault="0058416E" w:rsidP="0058416E">
      <w:pPr>
        <w:pStyle w:val="Paragraphtext"/>
        <w:numPr>
          <w:ilvl w:val="0"/>
          <w:numId w:val="25"/>
        </w:numPr>
        <w:jc w:val="left"/>
        <w:rPr>
          <w:lang w:val="en-GB"/>
        </w:rPr>
      </w:pPr>
      <w:r>
        <w:rPr>
          <w:lang w:val="en-GB"/>
        </w:rPr>
        <w:t xml:space="preserve">Continued confusion as to </w:t>
      </w:r>
      <w:r w:rsidR="002C5962">
        <w:rPr>
          <w:lang w:val="en-GB"/>
        </w:rPr>
        <w:t xml:space="preserve">what vehicle is </w:t>
      </w:r>
      <w:r w:rsidR="002810CF">
        <w:rPr>
          <w:lang w:val="en-GB"/>
        </w:rPr>
        <w:t xml:space="preserve">to be included in the Directive, </w:t>
      </w:r>
      <w:r w:rsidR="002C5962">
        <w:rPr>
          <w:lang w:val="en-GB"/>
        </w:rPr>
        <w:t xml:space="preserve">a patchwork of national legislations, and inconsistencies with regards to EU motor vehicle legislation </w:t>
      </w:r>
    </w:p>
    <w:p w:rsidR="002C5962" w:rsidRDefault="002C5962" w:rsidP="0058416E">
      <w:pPr>
        <w:pStyle w:val="Paragraphtext"/>
        <w:numPr>
          <w:ilvl w:val="0"/>
          <w:numId w:val="25"/>
        </w:numPr>
        <w:jc w:val="left"/>
        <w:rPr>
          <w:lang w:val="en-GB"/>
        </w:rPr>
      </w:pPr>
      <w:r>
        <w:rPr>
          <w:lang w:val="en-GB"/>
        </w:rPr>
        <w:t>Less safe roads with more motor vehicle use and less small low powered vehicles</w:t>
      </w:r>
    </w:p>
    <w:p w:rsidR="002C5962" w:rsidRDefault="002C5962" w:rsidP="002C5962">
      <w:pPr>
        <w:pStyle w:val="Paragraphtext"/>
        <w:jc w:val="left"/>
        <w:rPr>
          <w:lang w:val="en-GB"/>
        </w:rPr>
      </w:pPr>
    </w:p>
    <w:p w:rsidR="002C5962" w:rsidRDefault="002C5962" w:rsidP="002C5962">
      <w:pPr>
        <w:pStyle w:val="Paragraphtext"/>
        <w:jc w:val="left"/>
        <w:rPr>
          <w:lang w:val="en-GB"/>
        </w:rPr>
      </w:pPr>
    </w:p>
    <w:p w:rsidR="002C5962" w:rsidRPr="002C5962" w:rsidRDefault="002C5962" w:rsidP="002C5962">
      <w:pPr>
        <w:pStyle w:val="ECFboldtext"/>
      </w:pPr>
      <w:r w:rsidRPr="002C5962">
        <w:t>Benefits to widening the scope to include EPACs</w:t>
      </w:r>
    </w:p>
    <w:p w:rsidR="002C5962" w:rsidRDefault="002C5962" w:rsidP="002C5962">
      <w:pPr>
        <w:pStyle w:val="Paragraphtext"/>
        <w:numPr>
          <w:ilvl w:val="0"/>
          <w:numId w:val="26"/>
        </w:numPr>
        <w:jc w:val="left"/>
        <w:rPr>
          <w:lang w:val="en-GB"/>
        </w:rPr>
      </w:pPr>
      <w:r>
        <w:rPr>
          <w:lang w:val="en-GB"/>
        </w:rPr>
        <w:t xml:space="preserve">A </w:t>
      </w:r>
      <w:r w:rsidR="0010722A">
        <w:rPr>
          <w:lang w:val="en-GB"/>
        </w:rPr>
        <w:t>negligible</w:t>
      </w:r>
      <w:r>
        <w:rPr>
          <w:lang w:val="en-GB"/>
        </w:rPr>
        <w:t xml:space="preserve"> number of liability claims would be </w:t>
      </w:r>
      <w:r w:rsidR="0010722A">
        <w:rPr>
          <w:lang w:val="en-GB"/>
        </w:rPr>
        <w:t>honoured that may</w:t>
      </w:r>
      <w:r>
        <w:rPr>
          <w:lang w:val="en-GB"/>
        </w:rPr>
        <w:t xml:space="preserve"> otherwise not be honoured</w:t>
      </w:r>
    </w:p>
    <w:p w:rsidR="009D4ABE" w:rsidRDefault="009D4ABE" w:rsidP="00E202EB">
      <w:pPr>
        <w:pStyle w:val="Paragraphtext"/>
        <w:jc w:val="left"/>
        <w:rPr>
          <w:lang w:val="en-GB"/>
        </w:rPr>
      </w:pPr>
    </w:p>
    <w:p w:rsidR="009D4ABE" w:rsidRDefault="009D4ABE" w:rsidP="00E202EB">
      <w:pPr>
        <w:pStyle w:val="Paragraphtext"/>
        <w:jc w:val="left"/>
        <w:rPr>
          <w:lang w:val="en-GB"/>
        </w:rPr>
      </w:pPr>
    </w:p>
    <w:p w:rsidR="009D4ABE" w:rsidRDefault="009D4ABE" w:rsidP="00E202EB">
      <w:pPr>
        <w:pStyle w:val="Paragraphtext"/>
        <w:jc w:val="left"/>
        <w:rPr>
          <w:lang w:val="en-GB"/>
        </w:rPr>
      </w:pPr>
    </w:p>
    <w:p w:rsidR="001F10BB" w:rsidRPr="007B5680" w:rsidRDefault="00322FF6" w:rsidP="00A761B2">
      <w:pPr>
        <w:pStyle w:val="LEVEL1"/>
      </w:pPr>
      <w:r w:rsidRPr="007B5680">
        <w:rPr>
          <w:color w:val="5B9BD5" w:themeColor="accent1"/>
        </w:rPr>
        <w:lastRenderedPageBreak/>
        <w:t>Background</w:t>
      </w:r>
    </w:p>
    <w:p w:rsidR="00176074" w:rsidRPr="007B5680" w:rsidRDefault="00176074" w:rsidP="00E202EB">
      <w:pPr>
        <w:pStyle w:val="Paragraphtext"/>
        <w:jc w:val="left"/>
        <w:rPr>
          <w:lang w:val="en-GB"/>
        </w:rPr>
      </w:pPr>
    </w:p>
    <w:p w:rsidR="009C68CF" w:rsidRDefault="00322FF6" w:rsidP="009B3D27">
      <w:pPr>
        <w:pStyle w:val="Paragraphtext"/>
        <w:rPr>
          <w:lang w:val="en-GB"/>
        </w:rPr>
      </w:pPr>
      <w:r w:rsidRPr="007B5680">
        <w:rPr>
          <w:lang w:val="en-GB"/>
        </w:rPr>
        <w:t xml:space="preserve">The Motor Vehicle Insurance Directive </w:t>
      </w:r>
      <w:r w:rsidR="001D7E6D" w:rsidRPr="007B5680">
        <w:rPr>
          <w:lang w:val="en-GB"/>
        </w:rPr>
        <w:t>(MID) 2009/103/EC</w:t>
      </w:r>
      <w:r w:rsidR="00E24F99" w:rsidRPr="007B5680">
        <w:rPr>
          <w:rStyle w:val="FootnoteReference"/>
          <w:lang w:val="en-GB"/>
        </w:rPr>
        <w:footnoteReference w:id="1"/>
      </w:r>
      <w:r w:rsidR="001D7E6D" w:rsidRPr="007B5680">
        <w:rPr>
          <w:lang w:val="en-GB"/>
        </w:rPr>
        <w:t xml:space="preserve"> </w:t>
      </w:r>
    </w:p>
    <w:p w:rsidR="002E4372" w:rsidRPr="002E4372" w:rsidRDefault="002E4372" w:rsidP="009B3D27">
      <w:pPr>
        <w:pStyle w:val="Paragraphtext"/>
        <w:numPr>
          <w:ilvl w:val="0"/>
          <w:numId w:val="11"/>
        </w:numPr>
        <w:rPr>
          <w:lang w:val="en-GB"/>
        </w:rPr>
      </w:pPr>
      <w:r>
        <w:t>obliges all motor vehicles in the EU to be covered by compulsory third party insurance</w:t>
      </w:r>
    </w:p>
    <w:p w:rsidR="002E4372" w:rsidRDefault="002E4372" w:rsidP="009B3D27">
      <w:pPr>
        <w:pStyle w:val="Paragraphtext"/>
        <w:numPr>
          <w:ilvl w:val="0"/>
          <w:numId w:val="11"/>
        </w:numPr>
        <w:rPr>
          <w:lang w:val="en-GB"/>
        </w:rPr>
      </w:pPr>
      <w:r w:rsidRPr="002E4372">
        <w:rPr>
          <w:lang w:val="en-GB"/>
        </w:rPr>
        <w:t>specifies minimum third-party liability insurance cover in EU countries</w:t>
      </w:r>
    </w:p>
    <w:p w:rsidR="009C68CF" w:rsidRDefault="006E630A" w:rsidP="009B3D27">
      <w:pPr>
        <w:pStyle w:val="Paragraphtext"/>
        <w:numPr>
          <w:ilvl w:val="0"/>
          <w:numId w:val="11"/>
        </w:numPr>
        <w:rPr>
          <w:lang w:val="en-GB"/>
        </w:rPr>
      </w:pPr>
      <w:r w:rsidRPr="007B5680">
        <w:rPr>
          <w:lang w:val="en-GB"/>
        </w:rPr>
        <w:t xml:space="preserve">Ensures </w:t>
      </w:r>
      <w:r>
        <w:rPr>
          <w:lang w:val="en-GB"/>
        </w:rPr>
        <w:t>t</w:t>
      </w:r>
      <w:r w:rsidRPr="007B5680">
        <w:rPr>
          <w:lang w:val="en-GB"/>
        </w:rPr>
        <w:t>hat</w:t>
      </w:r>
      <w:r w:rsidR="001D7E6D" w:rsidRPr="007B5680">
        <w:rPr>
          <w:lang w:val="en-GB"/>
        </w:rPr>
        <w:t xml:space="preserve"> if a vehicle is insured for third party liability in one EU Member State the cover appl</w:t>
      </w:r>
      <w:r w:rsidR="002E4372">
        <w:rPr>
          <w:lang w:val="en-GB"/>
        </w:rPr>
        <w:t>ies across the whole of the EU</w:t>
      </w:r>
    </w:p>
    <w:p w:rsidR="009C68CF" w:rsidRDefault="006E630A" w:rsidP="009B3D27">
      <w:pPr>
        <w:pStyle w:val="Paragraphtext"/>
        <w:numPr>
          <w:ilvl w:val="0"/>
          <w:numId w:val="11"/>
        </w:numPr>
        <w:rPr>
          <w:lang w:val="en-GB"/>
        </w:rPr>
      </w:pPr>
      <w:r>
        <w:rPr>
          <w:lang w:val="en-GB"/>
        </w:rPr>
        <w:t>D</w:t>
      </w:r>
      <w:r w:rsidR="001D7E6D" w:rsidRPr="007B5680">
        <w:rPr>
          <w:lang w:val="en-GB"/>
        </w:rPr>
        <w:t>etermines the scope of coverage by defining a "vehicle” and also outlining the scope of the cover</w:t>
      </w:r>
      <w:r w:rsidR="00290307" w:rsidRPr="007B5680">
        <w:rPr>
          <w:lang w:val="en-GB"/>
        </w:rPr>
        <w:t xml:space="preserve"> by requiring that the vehicles</w:t>
      </w:r>
      <w:r w:rsidR="001D7E6D" w:rsidRPr="007B5680">
        <w:rPr>
          <w:lang w:val="en-GB"/>
        </w:rPr>
        <w:t xml:space="preserve"> be covered by third party liability insurance.</w:t>
      </w:r>
      <w:r w:rsidR="009C68CF">
        <w:rPr>
          <w:lang w:val="en-GB"/>
        </w:rPr>
        <w:t xml:space="preserve"> </w:t>
      </w:r>
    </w:p>
    <w:p w:rsidR="009F108A" w:rsidRDefault="006E630A" w:rsidP="009B3D27">
      <w:pPr>
        <w:pStyle w:val="Paragraphtext"/>
        <w:numPr>
          <w:ilvl w:val="0"/>
          <w:numId w:val="11"/>
        </w:numPr>
        <w:rPr>
          <w:lang w:val="en-GB"/>
        </w:rPr>
      </w:pPr>
      <w:r>
        <w:rPr>
          <w:lang w:val="en-GB"/>
        </w:rPr>
        <w:t>Ensures that there is a fund for each country to pay victims of uninsured drivers</w:t>
      </w:r>
    </w:p>
    <w:p w:rsidR="001D7E6D" w:rsidRPr="007B5680" w:rsidRDefault="001D7E6D" w:rsidP="009B3D27">
      <w:pPr>
        <w:pStyle w:val="Paragraphtext"/>
        <w:rPr>
          <w:lang w:val="en-GB"/>
        </w:rPr>
      </w:pPr>
    </w:p>
    <w:p w:rsidR="001D7E6D" w:rsidRPr="007B5680" w:rsidRDefault="009710C6" w:rsidP="009B3D27">
      <w:pPr>
        <w:pStyle w:val="Paragraphtext"/>
        <w:rPr>
          <w:lang w:val="en-GB"/>
        </w:rPr>
      </w:pPr>
      <w:r>
        <w:rPr>
          <w:lang w:val="en-GB"/>
        </w:rPr>
        <w:t xml:space="preserve">Therefore a vehicle that falls within the Directive is required to have mandatory third party insurance. </w:t>
      </w:r>
      <w:r w:rsidR="001D7E6D" w:rsidRPr="007B5680">
        <w:rPr>
          <w:lang w:val="en-GB"/>
        </w:rPr>
        <w:t>Currently a “vehicle”</w:t>
      </w:r>
      <w:r>
        <w:rPr>
          <w:lang w:val="en-GB"/>
        </w:rPr>
        <w:t xml:space="preserve"> falling</w:t>
      </w:r>
      <w:r w:rsidR="006E630A">
        <w:rPr>
          <w:lang w:val="en-GB"/>
        </w:rPr>
        <w:t xml:space="preserve"> within the MID</w:t>
      </w:r>
      <w:r w:rsidR="001D7E6D" w:rsidRPr="007B5680">
        <w:rPr>
          <w:lang w:val="en-GB"/>
        </w:rPr>
        <w:t xml:space="preserve"> is defined as;</w:t>
      </w:r>
    </w:p>
    <w:p w:rsidR="00E24F99" w:rsidRPr="007B5680" w:rsidRDefault="00E24F99" w:rsidP="009B3D27">
      <w:pPr>
        <w:pStyle w:val="Paragraphtext"/>
        <w:rPr>
          <w:lang w:val="en-GB"/>
        </w:rPr>
      </w:pPr>
    </w:p>
    <w:p w:rsidR="001D7E6D" w:rsidRPr="007B5680" w:rsidRDefault="001D7E6D" w:rsidP="009B3D27">
      <w:pPr>
        <w:pStyle w:val="Style1"/>
      </w:pPr>
      <w:r w:rsidRPr="007B5680">
        <w:t>“…any motor vehicle intended for travel on land and propelled by mechanical power,  but not running on rails, and any trailer, whether or not coupled;”</w:t>
      </w:r>
    </w:p>
    <w:p w:rsidR="00E24F99" w:rsidRPr="007B5680" w:rsidRDefault="00E24F99" w:rsidP="00E202EB">
      <w:pPr>
        <w:pStyle w:val="Style1"/>
        <w:jc w:val="left"/>
      </w:pPr>
    </w:p>
    <w:p w:rsidR="001C2BD8" w:rsidRDefault="001D7E6D" w:rsidP="009B3D27">
      <w:pPr>
        <w:pStyle w:val="Paragraphtext"/>
        <w:rPr>
          <w:lang w:val="en-GB"/>
        </w:rPr>
      </w:pPr>
      <w:r w:rsidRPr="007B5680">
        <w:rPr>
          <w:lang w:val="en-GB"/>
        </w:rPr>
        <w:t xml:space="preserve">This has </w:t>
      </w:r>
      <w:r w:rsidR="00175C17" w:rsidRPr="007B5680">
        <w:rPr>
          <w:lang w:val="en-GB"/>
        </w:rPr>
        <w:t xml:space="preserve">been </w:t>
      </w:r>
      <w:r w:rsidRPr="007B5680">
        <w:rPr>
          <w:lang w:val="en-GB"/>
        </w:rPr>
        <w:t xml:space="preserve">interpreted by the Member States to mean all </w:t>
      </w:r>
      <w:r w:rsidR="00290307" w:rsidRPr="007B5680">
        <w:rPr>
          <w:lang w:val="en-GB"/>
        </w:rPr>
        <w:t xml:space="preserve">motor </w:t>
      </w:r>
      <w:r w:rsidRPr="007B5680">
        <w:rPr>
          <w:lang w:val="en-GB"/>
        </w:rPr>
        <w:t xml:space="preserve">vehicles on the roads such as cars, vans, lorries, </w:t>
      </w:r>
      <w:r w:rsidR="00290307" w:rsidRPr="007B5680">
        <w:rPr>
          <w:lang w:val="en-GB"/>
        </w:rPr>
        <w:t xml:space="preserve">motorbikes, </w:t>
      </w:r>
      <w:r w:rsidRPr="007B5680">
        <w:rPr>
          <w:lang w:val="en-GB"/>
        </w:rPr>
        <w:t>etc. However in 2014 following a court case brought by</w:t>
      </w:r>
      <w:r w:rsidR="00F15DA1" w:rsidRPr="007B5680">
        <w:rPr>
          <w:lang w:val="en-GB"/>
        </w:rPr>
        <w:t xml:space="preserve"> a Slovenian citizen, Mr Vnuk, t</w:t>
      </w:r>
      <w:r w:rsidRPr="007B5680">
        <w:rPr>
          <w:lang w:val="en-GB"/>
        </w:rPr>
        <w:t>he European Court</w:t>
      </w:r>
      <w:r w:rsidR="001C2BD8">
        <w:rPr>
          <w:lang w:val="en-GB"/>
        </w:rPr>
        <w:t xml:space="preserve">s </w:t>
      </w:r>
      <w:r w:rsidR="00E24F99" w:rsidRPr="007B5680">
        <w:rPr>
          <w:lang w:val="en-GB"/>
        </w:rPr>
        <w:t xml:space="preserve">interpreted the definition </w:t>
      </w:r>
      <w:r w:rsidR="00290307" w:rsidRPr="007B5680">
        <w:rPr>
          <w:lang w:val="en-GB"/>
        </w:rPr>
        <w:t xml:space="preserve">of a motor vehicle to be covered by the legislation </w:t>
      </w:r>
      <w:r w:rsidR="006E630A">
        <w:rPr>
          <w:lang w:val="en-GB"/>
        </w:rPr>
        <w:t xml:space="preserve">to include any </w:t>
      </w:r>
      <w:r w:rsidR="00E24F99" w:rsidRPr="007B5680">
        <w:rPr>
          <w:lang w:val="en-GB"/>
        </w:rPr>
        <w:t>moto</w:t>
      </w:r>
      <w:r w:rsidR="006E630A">
        <w:rPr>
          <w:lang w:val="en-GB"/>
        </w:rPr>
        <w:t xml:space="preserve">r </w:t>
      </w:r>
      <w:r w:rsidR="00E24F99" w:rsidRPr="007B5680">
        <w:rPr>
          <w:lang w:val="en-GB"/>
        </w:rPr>
        <w:t>vehicle that is consistent “with its normal function” would require compulsory insurance</w:t>
      </w:r>
      <w:r w:rsidR="006E630A">
        <w:rPr>
          <w:lang w:val="en-GB"/>
        </w:rPr>
        <w:t>, on any piece of land</w:t>
      </w:r>
      <w:r w:rsidR="001C2BD8">
        <w:rPr>
          <w:rStyle w:val="FootnoteReference"/>
          <w:lang w:val="en-GB"/>
        </w:rPr>
        <w:footnoteReference w:id="2"/>
      </w:r>
      <w:r w:rsidR="00E24F99" w:rsidRPr="007B5680">
        <w:rPr>
          <w:lang w:val="en-GB"/>
        </w:rPr>
        <w:t>. This widens the scope of the Directive</w:t>
      </w:r>
      <w:r w:rsidR="00290307" w:rsidRPr="007B5680">
        <w:rPr>
          <w:lang w:val="en-GB"/>
        </w:rPr>
        <w:t xml:space="preserve">; with regards to place this would include all public and private space; </w:t>
      </w:r>
      <w:r w:rsidR="00E24F99" w:rsidRPr="007B5680">
        <w:rPr>
          <w:lang w:val="en-GB"/>
        </w:rPr>
        <w:t xml:space="preserve">with regards to </w:t>
      </w:r>
      <w:r w:rsidR="00290307" w:rsidRPr="007B5680">
        <w:rPr>
          <w:lang w:val="en-GB"/>
        </w:rPr>
        <w:t xml:space="preserve">the type of vehicle this would include all </w:t>
      </w:r>
      <w:r w:rsidR="00F50609" w:rsidRPr="007B5680">
        <w:rPr>
          <w:lang w:val="en-GB"/>
        </w:rPr>
        <w:t>vehicles “</w:t>
      </w:r>
      <w:r w:rsidR="00F50609" w:rsidRPr="007B5680">
        <w:rPr>
          <w:i/>
          <w:lang w:val="en-GB"/>
        </w:rPr>
        <w:t>propelled by mechanical power”</w:t>
      </w:r>
      <w:r w:rsidR="00E24F99" w:rsidRPr="007B5680">
        <w:rPr>
          <w:lang w:val="en-GB"/>
        </w:rPr>
        <w:t xml:space="preserve">. </w:t>
      </w:r>
    </w:p>
    <w:p w:rsidR="001C2BD8" w:rsidRDefault="001C2BD8" w:rsidP="00F50609">
      <w:pPr>
        <w:pStyle w:val="Paragraphtext"/>
        <w:rPr>
          <w:lang w:val="en-GB"/>
        </w:rPr>
      </w:pPr>
    </w:p>
    <w:p w:rsidR="001D7E6D" w:rsidRPr="007B5680" w:rsidRDefault="00E24F99" w:rsidP="00F50609">
      <w:pPr>
        <w:pStyle w:val="Paragraphtext"/>
        <w:rPr>
          <w:lang w:val="en-GB"/>
        </w:rPr>
      </w:pPr>
      <w:r w:rsidRPr="007B5680">
        <w:rPr>
          <w:lang w:val="en-GB"/>
        </w:rPr>
        <w:t xml:space="preserve">This would </w:t>
      </w:r>
      <w:r w:rsidR="00290307" w:rsidRPr="007B5680">
        <w:rPr>
          <w:lang w:val="en-GB"/>
        </w:rPr>
        <w:t xml:space="preserve">then </w:t>
      </w:r>
      <w:r w:rsidRPr="007B5680">
        <w:rPr>
          <w:lang w:val="en-GB"/>
        </w:rPr>
        <w:t xml:space="preserve">include, tractors working in fields, fairground rides, motor vehicle sports events, </w:t>
      </w:r>
      <w:r w:rsidR="00290307" w:rsidRPr="007B5680">
        <w:rPr>
          <w:lang w:val="en-GB"/>
        </w:rPr>
        <w:t xml:space="preserve">mobility scooters </w:t>
      </w:r>
      <w:r w:rsidR="009710C6">
        <w:rPr>
          <w:lang w:val="en-GB"/>
        </w:rPr>
        <w:t xml:space="preserve">etc. </w:t>
      </w:r>
      <w:r w:rsidR="00F50609" w:rsidRPr="007B5680">
        <w:rPr>
          <w:lang w:val="en-GB"/>
        </w:rPr>
        <w:t>and</w:t>
      </w:r>
      <w:r w:rsidR="009710C6">
        <w:rPr>
          <w:lang w:val="en-GB"/>
        </w:rPr>
        <w:t xml:space="preserve"> </w:t>
      </w:r>
      <w:r w:rsidR="00200A01">
        <w:rPr>
          <w:lang w:val="en-GB"/>
        </w:rPr>
        <w:t>Electrically Power Assisted Cycles EPACs</w:t>
      </w:r>
      <w:r w:rsidR="00C065B9">
        <w:rPr>
          <w:lang w:val="en-GB"/>
        </w:rPr>
        <w:t xml:space="preserve"> </w:t>
      </w:r>
      <w:r w:rsidR="00200A01">
        <w:rPr>
          <w:lang w:val="en-GB"/>
        </w:rPr>
        <w:t>(</w:t>
      </w:r>
      <w:r w:rsidR="00C065B9">
        <w:rPr>
          <w:lang w:val="en-GB"/>
        </w:rPr>
        <w:t xml:space="preserve">also known as </w:t>
      </w:r>
      <w:r w:rsidR="009D4ABE">
        <w:rPr>
          <w:lang w:val="en-GB"/>
        </w:rPr>
        <w:t>pedelecs</w:t>
      </w:r>
      <w:r w:rsidR="00200A01">
        <w:rPr>
          <w:lang w:val="en-GB"/>
        </w:rPr>
        <w:t xml:space="preserve">). </w:t>
      </w:r>
      <w:r w:rsidR="001C2BD8">
        <w:rPr>
          <w:lang w:val="en-GB"/>
        </w:rPr>
        <w:t>Even more worrying</w:t>
      </w:r>
      <w:r w:rsidR="00F50609" w:rsidRPr="007B5680">
        <w:rPr>
          <w:lang w:val="en-GB"/>
        </w:rPr>
        <w:t xml:space="preserve"> is that “</w:t>
      </w:r>
      <w:r w:rsidR="00F50609" w:rsidRPr="007B5680">
        <w:rPr>
          <w:i/>
          <w:lang w:val="en-GB"/>
        </w:rPr>
        <w:t>propelled by mechanical power</w:t>
      </w:r>
      <w:r w:rsidR="00F50609" w:rsidRPr="007B5680">
        <w:rPr>
          <w:lang w:val="en-GB"/>
        </w:rPr>
        <w:t xml:space="preserve">” could even </w:t>
      </w:r>
      <w:r w:rsidR="001451D5">
        <w:rPr>
          <w:lang w:val="en-GB"/>
        </w:rPr>
        <w:t xml:space="preserve">be interpreted from now on as </w:t>
      </w:r>
      <w:r w:rsidR="00F50609" w:rsidRPr="007B5680">
        <w:rPr>
          <w:lang w:val="en-GB"/>
        </w:rPr>
        <w:t>mean</w:t>
      </w:r>
      <w:r w:rsidR="001451D5">
        <w:rPr>
          <w:lang w:val="en-GB"/>
        </w:rPr>
        <w:t>ing a</w:t>
      </w:r>
      <w:r w:rsidR="00F50609" w:rsidRPr="007B5680">
        <w:rPr>
          <w:lang w:val="en-GB"/>
        </w:rPr>
        <w:t xml:space="preserve"> bicycle</w:t>
      </w:r>
      <w:r w:rsidR="001451D5">
        <w:rPr>
          <w:rStyle w:val="FootnoteReference"/>
          <w:lang w:val="en-GB"/>
        </w:rPr>
        <w:footnoteReference w:id="3"/>
      </w:r>
      <w:r w:rsidR="00F50609" w:rsidRPr="007B5680">
        <w:rPr>
          <w:lang w:val="en-GB"/>
        </w:rPr>
        <w:t xml:space="preserve">. </w:t>
      </w:r>
    </w:p>
    <w:p w:rsidR="00F50609" w:rsidRPr="007B5680" w:rsidRDefault="00F50609" w:rsidP="00F50609">
      <w:pPr>
        <w:pStyle w:val="Paragraphtext"/>
        <w:rPr>
          <w:lang w:val="en-GB"/>
        </w:rPr>
      </w:pPr>
    </w:p>
    <w:p w:rsidR="00381E42" w:rsidRPr="007B5680" w:rsidRDefault="00381E42" w:rsidP="009B3D27">
      <w:pPr>
        <w:pStyle w:val="ECFboldtext"/>
        <w:jc w:val="both"/>
      </w:pPr>
      <w:r w:rsidRPr="007B5680">
        <w:t>The Commissions intentions</w:t>
      </w:r>
    </w:p>
    <w:p w:rsidR="00381E42" w:rsidRDefault="00381E42" w:rsidP="009B3D27">
      <w:pPr>
        <w:pStyle w:val="Paragraphtext"/>
        <w:rPr>
          <w:lang w:val="en-GB"/>
        </w:rPr>
      </w:pPr>
      <w:r w:rsidRPr="007B5680">
        <w:rPr>
          <w:lang w:val="en-GB"/>
        </w:rPr>
        <w:t xml:space="preserve">Due to confusion with the language of the Directive among Member States, and the unsustainability of the Directive to include every </w:t>
      </w:r>
      <w:r>
        <w:rPr>
          <w:lang w:val="en-GB"/>
        </w:rPr>
        <w:t>vehicle</w:t>
      </w:r>
      <w:r w:rsidRPr="007B5680">
        <w:rPr>
          <w:lang w:val="en-GB"/>
        </w:rPr>
        <w:t xml:space="preserve"> </w:t>
      </w:r>
      <w:r>
        <w:rPr>
          <w:lang w:val="en-GB"/>
        </w:rPr>
        <w:t>with a motor</w:t>
      </w:r>
      <w:r w:rsidRPr="007B5680">
        <w:rPr>
          <w:lang w:val="en-GB"/>
        </w:rPr>
        <w:t xml:space="preserve"> on all grounds, the European Commission will be reviewing the Directive under the Refit programme</w:t>
      </w:r>
      <w:r w:rsidRPr="007B5680">
        <w:rPr>
          <w:rStyle w:val="FootnoteReference"/>
          <w:lang w:val="en-GB"/>
        </w:rPr>
        <w:footnoteReference w:id="4"/>
      </w:r>
      <w:r w:rsidRPr="007B5680">
        <w:rPr>
          <w:lang w:val="en-GB"/>
        </w:rPr>
        <w:t xml:space="preserve">. </w:t>
      </w:r>
    </w:p>
    <w:p w:rsidR="00381E42" w:rsidRDefault="00381E42" w:rsidP="009B3D27">
      <w:pPr>
        <w:pStyle w:val="Paragraphtext"/>
        <w:rPr>
          <w:lang w:val="en-GB"/>
        </w:rPr>
      </w:pPr>
    </w:p>
    <w:p w:rsidR="00381E42" w:rsidRDefault="00381E42" w:rsidP="009B3D27">
      <w:pPr>
        <w:pStyle w:val="Paragraphtext"/>
        <w:rPr>
          <w:lang w:val="en-GB"/>
        </w:rPr>
      </w:pPr>
      <w:r w:rsidRPr="007B5680">
        <w:rPr>
          <w:lang w:val="en-GB"/>
        </w:rPr>
        <w:t>The Refit programme aims to cut red tape, lessen administrative burden, drop unnecessary legislation, and simplify current policy, and this would be the intention of the review of the MID. There is currently a consultation process underway with a commission amending proposal estimated early 2018.</w:t>
      </w:r>
    </w:p>
    <w:p w:rsidR="00381E42" w:rsidRDefault="00381E42" w:rsidP="009B3D27">
      <w:pPr>
        <w:pStyle w:val="Paragraphtext"/>
        <w:rPr>
          <w:lang w:val="en-GB"/>
        </w:rPr>
      </w:pPr>
    </w:p>
    <w:p w:rsidR="00C065B9" w:rsidRDefault="00C065B9" w:rsidP="009B3D27">
      <w:pPr>
        <w:pStyle w:val="Paragraphtext"/>
        <w:rPr>
          <w:lang w:val="en-GB"/>
        </w:rPr>
      </w:pPr>
      <w:r>
        <w:rPr>
          <w:lang w:val="en-GB"/>
        </w:rPr>
        <w:lastRenderedPageBreak/>
        <w:t>The options</w:t>
      </w:r>
      <w:r w:rsidR="00C73E0D">
        <w:rPr>
          <w:rStyle w:val="FootnoteReference"/>
          <w:lang w:val="en-GB"/>
        </w:rPr>
        <w:footnoteReference w:id="5"/>
      </w:r>
      <w:r>
        <w:rPr>
          <w:lang w:val="en-GB"/>
        </w:rPr>
        <w:t xml:space="preserve"> of the Commission regarding </w:t>
      </w:r>
      <w:r w:rsidR="009B3D27">
        <w:rPr>
          <w:lang w:val="en-GB"/>
        </w:rPr>
        <w:t xml:space="preserve">vehicle </w:t>
      </w:r>
      <w:r>
        <w:rPr>
          <w:lang w:val="en-GB"/>
        </w:rPr>
        <w:t xml:space="preserve">scope </w:t>
      </w:r>
      <w:r w:rsidR="009B3D27">
        <w:rPr>
          <w:lang w:val="en-GB"/>
        </w:rPr>
        <w:t xml:space="preserve">(definition of which vehicle to include within the MID) </w:t>
      </w:r>
      <w:r>
        <w:rPr>
          <w:lang w:val="en-GB"/>
        </w:rPr>
        <w:t>have been put forward as;</w:t>
      </w:r>
    </w:p>
    <w:p w:rsidR="00C065B9" w:rsidRDefault="00C065B9" w:rsidP="009B3D27">
      <w:pPr>
        <w:pStyle w:val="Paragraphtext"/>
        <w:rPr>
          <w:lang w:val="en-GB"/>
        </w:rPr>
      </w:pPr>
    </w:p>
    <w:p w:rsidR="00381E42" w:rsidRDefault="00C065B9" w:rsidP="009B3D27">
      <w:pPr>
        <w:pStyle w:val="Paragraphtext"/>
        <w:numPr>
          <w:ilvl w:val="0"/>
          <w:numId w:val="16"/>
        </w:numPr>
        <w:rPr>
          <w:lang w:val="en-GB"/>
        </w:rPr>
      </w:pPr>
      <w:r>
        <w:rPr>
          <w:lang w:val="en-GB"/>
        </w:rPr>
        <w:t>Including all vehicles within the Vnuk ruling</w:t>
      </w:r>
    </w:p>
    <w:p w:rsidR="00C065B9" w:rsidRDefault="00C065B9" w:rsidP="009B3D27">
      <w:pPr>
        <w:pStyle w:val="Paragraphtext"/>
        <w:numPr>
          <w:ilvl w:val="0"/>
          <w:numId w:val="16"/>
        </w:numPr>
        <w:rPr>
          <w:lang w:val="en-GB"/>
        </w:rPr>
      </w:pPr>
      <w:r w:rsidRPr="00C065B9">
        <w:rPr>
          <w:lang w:val="en-GB"/>
        </w:rPr>
        <w:t>create an obligation for Member States to set up guarantee schemes to specifically cover purely agricultural, construction, industrial, motor sports or fairground activities if otherwise uninsured</w:t>
      </w:r>
    </w:p>
    <w:p w:rsidR="00C065B9" w:rsidRDefault="00C065B9" w:rsidP="009B3D27">
      <w:pPr>
        <w:pStyle w:val="Paragraphtext"/>
        <w:numPr>
          <w:ilvl w:val="0"/>
          <w:numId w:val="16"/>
        </w:numPr>
        <w:rPr>
          <w:lang w:val="en-GB"/>
        </w:rPr>
      </w:pPr>
      <w:r w:rsidRPr="00C065B9">
        <w:rPr>
          <w:lang w:val="en-GB"/>
        </w:rPr>
        <w:t xml:space="preserve">amend the Directive to </w:t>
      </w:r>
      <w:r w:rsidR="00C73E0D">
        <w:rPr>
          <w:lang w:val="en-GB"/>
        </w:rPr>
        <w:t>“</w:t>
      </w:r>
      <w:r w:rsidRPr="00C065B9">
        <w:rPr>
          <w:lang w:val="en-GB"/>
        </w:rPr>
        <w:t>limit the scope only to accidents caused by motor vehicles in the context of traffic (defined as where the use of a vehicle for the transport of persons or goods, whether stationary or in motion, in areas where the public has access in</w:t>
      </w:r>
      <w:r>
        <w:rPr>
          <w:lang w:val="en-GB"/>
        </w:rPr>
        <w:t xml:space="preserve"> </w:t>
      </w:r>
      <w:r w:rsidRPr="00C065B9">
        <w:rPr>
          <w:lang w:val="en-GB"/>
        </w:rPr>
        <w:t>accordance with national law)</w:t>
      </w:r>
      <w:r w:rsidR="00C73E0D">
        <w:rPr>
          <w:lang w:val="en-GB"/>
        </w:rPr>
        <w:t>”</w:t>
      </w:r>
    </w:p>
    <w:p w:rsidR="00C73E0D" w:rsidRPr="00C73E0D" w:rsidRDefault="00C73E0D" w:rsidP="009B3D27">
      <w:pPr>
        <w:pStyle w:val="Paragraphtext"/>
        <w:numPr>
          <w:ilvl w:val="0"/>
          <w:numId w:val="16"/>
        </w:numPr>
        <w:rPr>
          <w:lang w:val="en-GB"/>
        </w:rPr>
      </w:pPr>
      <w:r w:rsidRPr="00C73E0D">
        <w:rPr>
          <w:lang w:val="en-GB"/>
        </w:rPr>
        <w:t>A fourth option could be to exclude certain categories of vehicles entirely</w:t>
      </w:r>
      <w:r>
        <w:rPr>
          <w:lang w:val="en-GB"/>
        </w:rPr>
        <w:t xml:space="preserve"> </w:t>
      </w:r>
      <w:r w:rsidRPr="00C73E0D">
        <w:rPr>
          <w:lang w:val="en-GB"/>
        </w:rPr>
        <w:t>from the scope of the Directive</w:t>
      </w:r>
    </w:p>
    <w:p w:rsidR="00C065B9" w:rsidRDefault="00C065B9" w:rsidP="00C065B9">
      <w:pPr>
        <w:pStyle w:val="LEVEL1"/>
        <w:rPr>
          <w:rFonts w:ascii="FuturaTEE" w:hAnsi="FuturaTEE" w:cs="Times New Roman"/>
          <w:bCs w:val="0"/>
          <w:color w:val="055068"/>
          <w:spacing w:val="0"/>
          <w:sz w:val="24"/>
          <w:szCs w:val="18"/>
        </w:rPr>
      </w:pPr>
    </w:p>
    <w:p w:rsidR="00381E42" w:rsidRPr="00C065B9" w:rsidRDefault="00200A01" w:rsidP="009B3D27">
      <w:pPr>
        <w:pStyle w:val="LEVEL1"/>
        <w:jc w:val="both"/>
        <w:rPr>
          <w:color w:val="5B9BD5" w:themeColor="accent1"/>
        </w:rPr>
      </w:pPr>
      <w:r>
        <w:rPr>
          <w:color w:val="5B9BD5" w:themeColor="accent1"/>
        </w:rPr>
        <w:t>EPAC</w:t>
      </w:r>
      <w:r w:rsidR="00AC0B3C">
        <w:rPr>
          <w:color w:val="5B9BD5" w:themeColor="accent1"/>
        </w:rPr>
        <w:t>s should not be a part of the MID</w:t>
      </w:r>
    </w:p>
    <w:p w:rsidR="00381E42" w:rsidRPr="00381E42" w:rsidRDefault="00381E42" w:rsidP="00381E42">
      <w:pPr>
        <w:pStyle w:val="Paragraphtext"/>
        <w:jc w:val="left"/>
        <w:rPr>
          <w:lang w:val="en-GB"/>
        </w:rPr>
      </w:pPr>
    </w:p>
    <w:p w:rsidR="00381E42" w:rsidRDefault="00884B61" w:rsidP="009B3D27">
      <w:pPr>
        <w:pStyle w:val="Paragraphtext"/>
        <w:rPr>
          <w:lang w:val="en-GB"/>
        </w:rPr>
      </w:pPr>
      <w:r>
        <w:rPr>
          <w:lang w:val="en-GB"/>
        </w:rPr>
        <w:t xml:space="preserve">For an organisation representing the millions of users of </w:t>
      </w:r>
      <w:r w:rsidR="00200A01">
        <w:rPr>
          <w:lang w:val="en-GB"/>
        </w:rPr>
        <w:t>EPAC</w:t>
      </w:r>
      <w:r>
        <w:rPr>
          <w:lang w:val="en-GB"/>
        </w:rPr>
        <w:t xml:space="preserve"> bicycles t</w:t>
      </w:r>
      <w:r w:rsidR="009B3D27">
        <w:rPr>
          <w:lang w:val="en-GB"/>
        </w:rPr>
        <w:t xml:space="preserve">he scope of the vehicle is the most important part of this review. </w:t>
      </w:r>
      <w:r w:rsidR="009F414B">
        <w:rPr>
          <w:lang w:val="en-GB"/>
        </w:rPr>
        <w:t xml:space="preserve">ECF believes that </w:t>
      </w:r>
      <w:r w:rsidR="00200A01">
        <w:rPr>
          <w:lang w:val="en-GB"/>
        </w:rPr>
        <w:t>EPAC</w:t>
      </w:r>
      <w:r w:rsidR="009F414B">
        <w:rPr>
          <w:lang w:val="en-GB"/>
        </w:rPr>
        <w:t xml:space="preserve">s under 250 Watts of power with an assisting motor that cuts out at 25 km/h as excluded from </w:t>
      </w:r>
      <w:r w:rsidR="00332E98">
        <w:rPr>
          <w:lang w:val="en-GB"/>
        </w:rPr>
        <w:t xml:space="preserve">Motor Vehicle </w:t>
      </w:r>
      <w:r w:rsidR="009F414B">
        <w:rPr>
          <w:lang w:val="en-GB"/>
        </w:rPr>
        <w:t>Type Approval</w:t>
      </w:r>
      <w:r w:rsidR="002424CC">
        <w:rPr>
          <w:rStyle w:val="FootnoteReference"/>
          <w:lang w:val="en-GB"/>
        </w:rPr>
        <w:footnoteReference w:id="6"/>
      </w:r>
      <w:r w:rsidR="009F414B">
        <w:rPr>
          <w:lang w:val="en-GB"/>
        </w:rPr>
        <w:t xml:space="preserve"> should be excluded from the Motor Vehicle Insurance Directive for the following reasons</w:t>
      </w:r>
      <w:r w:rsidR="00D244FA">
        <w:rPr>
          <w:rStyle w:val="FootnoteReference"/>
          <w:lang w:val="en-GB"/>
        </w:rPr>
        <w:footnoteReference w:id="7"/>
      </w:r>
      <w:r w:rsidR="00D244FA">
        <w:rPr>
          <w:lang w:val="en-GB"/>
        </w:rPr>
        <w:t>;</w:t>
      </w:r>
    </w:p>
    <w:p w:rsidR="009F414B" w:rsidRDefault="009F414B" w:rsidP="009B3D27">
      <w:pPr>
        <w:pStyle w:val="Paragraphtext"/>
        <w:rPr>
          <w:lang w:val="en-GB"/>
        </w:rPr>
      </w:pPr>
    </w:p>
    <w:p w:rsidR="009F414B" w:rsidRDefault="00200A01" w:rsidP="009B3D27">
      <w:pPr>
        <w:pStyle w:val="ECFboldtext"/>
        <w:numPr>
          <w:ilvl w:val="0"/>
          <w:numId w:val="13"/>
        </w:numPr>
        <w:jc w:val="both"/>
      </w:pPr>
      <w:r>
        <w:t>EPAC</w:t>
      </w:r>
      <w:r w:rsidR="009F414B">
        <w:t>s are not motorized vehicles</w:t>
      </w:r>
    </w:p>
    <w:p w:rsidR="00381E42" w:rsidRDefault="00381E42" w:rsidP="009B3D27">
      <w:pPr>
        <w:pStyle w:val="Paragraphtext"/>
        <w:rPr>
          <w:lang w:val="en-GB"/>
        </w:rPr>
      </w:pPr>
    </w:p>
    <w:p w:rsidR="00D244FA" w:rsidRPr="00D244FA" w:rsidRDefault="00200A01" w:rsidP="009B3D27">
      <w:pPr>
        <w:pStyle w:val="Paragraphtext"/>
        <w:numPr>
          <w:ilvl w:val="0"/>
          <w:numId w:val="9"/>
        </w:numPr>
        <w:rPr>
          <w:lang w:val="en-GB"/>
        </w:rPr>
      </w:pPr>
      <w:r>
        <w:rPr>
          <w:lang w:val="en-GB"/>
        </w:rPr>
        <w:t>EPAC</w:t>
      </w:r>
      <w:r w:rsidR="00D244FA" w:rsidRPr="00D244FA">
        <w:rPr>
          <w:lang w:val="en-GB"/>
        </w:rPr>
        <w:t>s are electrically assisted bicycles that</w:t>
      </w:r>
      <w:r w:rsidR="00D244FA">
        <w:rPr>
          <w:lang w:val="en-GB"/>
        </w:rPr>
        <w:t xml:space="preserve"> </w:t>
      </w:r>
      <w:r w:rsidR="00D244FA" w:rsidRPr="00D244FA">
        <w:rPr>
          <w:lang w:val="en-GB"/>
        </w:rPr>
        <w:t xml:space="preserve">give a modest boost to assist riders up hills or into winds </w:t>
      </w:r>
    </w:p>
    <w:p w:rsidR="009F414B" w:rsidRPr="007B5680" w:rsidRDefault="009F414B" w:rsidP="009B3D27">
      <w:pPr>
        <w:pStyle w:val="Paragraphtext"/>
        <w:numPr>
          <w:ilvl w:val="0"/>
          <w:numId w:val="9"/>
        </w:numPr>
        <w:rPr>
          <w:lang w:val="en-GB"/>
        </w:rPr>
      </w:pPr>
      <w:r w:rsidRPr="007B5680">
        <w:rPr>
          <w:lang w:val="en-GB"/>
        </w:rPr>
        <w:t xml:space="preserve">An </w:t>
      </w:r>
      <w:r w:rsidR="00200A01">
        <w:rPr>
          <w:lang w:val="en-GB"/>
        </w:rPr>
        <w:t>EPAC</w:t>
      </w:r>
      <w:r w:rsidRPr="007B5680">
        <w:rPr>
          <w:lang w:val="en-GB"/>
        </w:rPr>
        <w:t>’s electric motor assists the cyclist but will not work without pedalling; no pedal, no power</w:t>
      </w:r>
    </w:p>
    <w:p w:rsidR="009F414B" w:rsidRPr="007B5680" w:rsidRDefault="009F414B" w:rsidP="009B3D27">
      <w:pPr>
        <w:pStyle w:val="Paragraphtext"/>
        <w:numPr>
          <w:ilvl w:val="0"/>
          <w:numId w:val="9"/>
        </w:numPr>
        <w:rPr>
          <w:lang w:val="en-GB"/>
        </w:rPr>
      </w:pPr>
      <w:r w:rsidRPr="007B5680">
        <w:rPr>
          <w:lang w:val="en-GB"/>
        </w:rPr>
        <w:t xml:space="preserve">The </w:t>
      </w:r>
      <w:r w:rsidR="00200A01">
        <w:rPr>
          <w:lang w:val="en-GB"/>
        </w:rPr>
        <w:t>EPAC</w:t>
      </w:r>
      <w:r w:rsidRPr="007B5680">
        <w:rPr>
          <w:lang w:val="en-GB"/>
        </w:rPr>
        <w:t xml:space="preserve"> is designed to also be ridden without the motor assistance and so when the motor is off or battery drained the bike is literally a bicycle</w:t>
      </w:r>
    </w:p>
    <w:p w:rsidR="009F414B" w:rsidRPr="007B5680" w:rsidRDefault="009F414B" w:rsidP="009B3D27">
      <w:pPr>
        <w:pStyle w:val="Paragraphtext"/>
        <w:numPr>
          <w:ilvl w:val="0"/>
          <w:numId w:val="9"/>
        </w:numPr>
        <w:rPr>
          <w:lang w:val="en-GB"/>
        </w:rPr>
      </w:pPr>
      <w:r w:rsidRPr="007B5680">
        <w:rPr>
          <w:lang w:val="en-GB"/>
        </w:rPr>
        <w:t>The maximum speed is 25 km/h before the motor cuts out, this is the speed of a well-trained, fit cyclist</w:t>
      </w:r>
    </w:p>
    <w:p w:rsidR="009F414B" w:rsidRPr="007B5680" w:rsidRDefault="009F414B" w:rsidP="009B3D27">
      <w:pPr>
        <w:pStyle w:val="Paragraphtext"/>
        <w:numPr>
          <w:ilvl w:val="0"/>
          <w:numId w:val="9"/>
        </w:numPr>
        <w:rPr>
          <w:lang w:val="en-GB"/>
        </w:rPr>
      </w:pPr>
      <w:r w:rsidRPr="007B5680">
        <w:rPr>
          <w:lang w:val="en-GB"/>
        </w:rPr>
        <w:t xml:space="preserve">The maximum continuous power output is 250 Watt, this is the power output of a well-trained, fit cyclist </w:t>
      </w:r>
    </w:p>
    <w:p w:rsidR="009F414B" w:rsidRPr="007B5680" w:rsidRDefault="00C73E0D" w:rsidP="009B3D27">
      <w:pPr>
        <w:pStyle w:val="Paragraphtext"/>
        <w:numPr>
          <w:ilvl w:val="0"/>
          <w:numId w:val="9"/>
        </w:numPr>
        <w:rPr>
          <w:lang w:val="en-GB"/>
        </w:rPr>
      </w:pPr>
      <w:r>
        <w:rPr>
          <w:lang w:val="en-GB"/>
        </w:rPr>
        <w:t>Their technical regulations come through the bicycle working group TC333 in the standardisation bodies CEN</w:t>
      </w:r>
      <w:r w:rsidR="00332E98">
        <w:rPr>
          <w:lang w:val="en-GB"/>
        </w:rPr>
        <w:t>, not through Type Approval</w:t>
      </w:r>
      <w:r>
        <w:rPr>
          <w:rStyle w:val="FootnoteReference"/>
          <w:lang w:val="en-GB"/>
        </w:rPr>
        <w:footnoteReference w:id="8"/>
      </w:r>
      <w:r>
        <w:rPr>
          <w:lang w:val="en-GB"/>
        </w:rPr>
        <w:t>,</w:t>
      </w:r>
    </w:p>
    <w:p w:rsidR="00D244FA" w:rsidRDefault="00D244FA" w:rsidP="009B3D27">
      <w:pPr>
        <w:pStyle w:val="Paragraphtext"/>
        <w:rPr>
          <w:lang w:val="en-GB"/>
        </w:rPr>
      </w:pPr>
    </w:p>
    <w:p w:rsidR="009F414B" w:rsidRPr="007B5680" w:rsidRDefault="00200A01" w:rsidP="009B3D27">
      <w:pPr>
        <w:pStyle w:val="Paragraphtext"/>
        <w:rPr>
          <w:lang w:val="en-GB"/>
        </w:rPr>
      </w:pPr>
      <w:r>
        <w:rPr>
          <w:lang w:val="en-GB"/>
        </w:rPr>
        <w:t>EPAC</w:t>
      </w:r>
      <w:r w:rsidR="009F414B" w:rsidRPr="007B5680">
        <w:rPr>
          <w:lang w:val="en-GB"/>
        </w:rPr>
        <w:t xml:space="preserve">s have been </w:t>
      </w:r>
      <w:r w:rsidR="009F414B">
        <w:rPr>
          <w:lang w:val="en-GB"/>
        </w:rPr>
        <w:t>classified</w:t>
      </w:r>
      <w:r w:rsidR="009F414B" w:rsidRPr="007B5680">
        <w:rPr>
          <w:lang w:val="en-GB"/>
        </w:rPr>
        <w:t xml:space="preserve"> as a </w:t>
      </w:r>
      <w:r w:rsidR="00C73E0D">
        <w:rPr>
          <w:lang w:val="en-GB"/>
        </w:rPr>
        <w:t>bicycle</w:t>
      </w:r>
      <w:r w:rsidR="009F414B" w:rsidRPr="007B5680">
        <w:rPr>
          <w:lang w:val="en-GB"/>
        </w:rPr>
        <w:t xml:space="preserve"> in many other EU legislations;</w:t>
      </w:r>
    </w:p>
    <w:p w:rsidR="009F414B" w:rsidRPr="007B5680" w:rsidRDefault="009F414B" w:rsidP="009B3D27">
      <w:pPr>
        <w:pStyle w:val="Paragraphtext"/>
        <w:rPr>
          <w:lang w:val="en-GB"/>
        </w:rPr>
      </w:pPr>
    </w:p>
    <w:p w:rsidR="009F414B" w:rsidRPr="007B5680" w:rsidRDefault="00200A01" w:rsidP="009B3D27">
      <w:pPr>
        <w:pStyle w:val="Paragraphtext"/>
        <w:numPr>
          <w:ilvl w:val="0"/>
          <w:numId w:val="9"/>
        </w:numPr>
        <w:rPr>
          <w:lang w:val="en-GB"/>
        </w:rPr>
      </w:pPr>
      <w:r>
        <w:rPr>
          <w:lang w:val="en-GB"/>
        </w:rPr>
        <w:t>EPAC</w:t>
      </w:r>
      <w:r w:rsidR="009F414B" w:rsidRPr="007B5680">
        <w:rPr>
          <w:lang w:val="en-GB"/>
        </w:rPr>
        <w:t>s are not considered motor vehicles within the context of EU Type Approval</w:t>
      </w:r>
      <w:r w:rsidR="009F414B" w:rsidRPr="007B5680">
        <w:rPr>
          <w:rStyle w:val="FootnoteReference"/>
          <w:lang w:val="en-GB"/>
        </w:rPr>
        <w:footnoteReference w:id="9"/>
      </w:r>
      <w:r w:rsidR="009F414B" w:rsidRPr="007B5680">
        <w:rPr>
          <w:lang w:val="en-GB"/>
        </w:rPr>
        <w:t xml:space="preserve"> for Two</w:t>
      </w:r>
      <w:r w:rsidR="00D244FA">
        <w:rPr>
          <w:lang w:val="en-GB"/>
        </w:rPr>
        <w:t xml:space="preserve"> and Three Wheel Motor Vehicles</w:t>
      </w:r>
      <w:r w:rsidR="009F414B" w:rsidRPr="007B5680">
        <w:rPr>
          <w:lang w:val="en-GB"/>
        </w:rPr>
        <w:t>;</w:t>
      </w:r>
    </w:p>
    <w:p w:rsidR="009F414B" w:rsidRPr="007B5680" w:rsidRDefault="009F414B" w:rsidP="009B3D27">
      <w:pPr>
        <w:pStyle w:val="Style1"/>
        <w:ind w:left="1701"/>
      </w:pPr>
      <w:r w:rsidRPr="007B5680">
        <w:lastRenderedPageBreak/>
        <w:t>“This Regulation does not apply to the following vehicles…</w:t>
      </w:r>
    </w:p>
    <w:p w:rsidR="009F414B" w:rsidRPr="007B5680" w:rsidRDefault="009F414B" w:rsidP="009B3D27">
      <w:pPr>
        <w:pStyle w:val="Style1"/>
        <w:ind w:left="1701"/>
      </w:pPr>
      <w:r w:rsidRPr="007B5680">
        <w:t>…pedal cycles with pedal assistance which are equipped with an auxiliary electric motor having a maximum continuous rated power of less than or equal to 250 W, where the output of the motor is cut off when the cyclist stops pedalling and is otherwise progressively reduced and finally cut off before the vehicle speed reaches 25 km/h.”</w:t>
      </w:r>
    </w:p>
    <w:p w:rsidR="009F414B" w:rsidRPr="007B5680" w:rsidRDefault="009F414B" w:rsidP="009B3D27">
      <w:pPr>
        <w:pStyle w:val="Paragraphtext"/>
        <w:ind w:left="720"/>
        <w:rPr>
          <w:lang w:val="en-GB"/>
        </w:rPr>
      </w:pPr>
      <w:r w:rsidRPr="007B5680">
        <w:rPr>
          <w:lang w:val="en-GB"/>
        </w:rPr>
        <w:t>The vehicle is called a pedal cycle and the rider a cyclist.</w:t>
      </w:r>
    </w:p>
    <w:p w:rsidR="009F414B" w:rsidRPr="007B5680" w:rsidRDefault="00200A01" w:rsidP="009B3D27">
      <w:pPr>
        <w:pStyle w:val="Paragraphtext"/>
        <w:numPr>
          <w:ilvl w:val="0"/>
          <w:numId w:val="9"/>
        </w:numPr>
        <w:rPr>
          <w:lang w:val="en-GB"/>
        </w:rPr>
      </w:pPr>
      <w:r>
        <w:rPr>
          <w:lang w:val="en-GB"/>
        </w:rPr>
        <w:t>EPAC</w:t>
      </w:r>
      <w:r w:rsidR="009F414B" w:rsidRPr="007B5680">
        <w:rPr>
          <w:lang w:val="en-GB"/>
        </w:rPr>
        <w:t>s are not considered motor vehicles within the context of the Driving Licenses Directive 2006/126/EC</w:t>
      </w:r>
      <w:r w:rsidR="009F414B" w:rsidRPr="007B5680">
        <w:rPr>
          <w:rStyle w:val="FootnoteReference"/>
          <w:lang w:val="en-GB"/>
        </w:rPr>
        <w:footnoteReference w:id="10"/>
      </w:r>
      <w:r w:rsidR="009F414B" w:rsidRPr="007B5680">
        <w:rPr>
          <w:lang w:val="en-GB"/>
        </w:rPr>
        <w:t xml:space="preserve"> </w:t>
      </w:r>
    </w:p>
    <w:p w:rsidR="009F414B" w:rsidRDefault="009F414B" w:rsidP="009B3D27">
      <w:pPr>
        <w:pStyle w:val="Style1"/>
        <w:ind w:left="1701"/>
      </w:pPr>
      <w:r w:rsidRPr="007B5680">
        <w:t xml:space="preserve">“A ‘power-driven vehicle’ means any </w:t>
      </w:r>
      <w:r w:rsidRPr="005A1F0D">
        <w:t>self-propelled vehicle running on a road under its own power</w:t>
      </w:r>
      <w:r w:rsidRPr="007B5680">
        <w:t xml:space="preserve">, other than a rail-borne vehicle.” (Italics added). </w:t>
      </w:r>
    </w:p>
    <w:p w:rsidR="009F414B" w:rsidRPr="007B5680" w:rsidRDefault="009F414B" w:rsidP="009B3D27">
      <w:pPr>
        <w:pStyle w:val="Paragraphtext"/>
        <w:ind w:left="720"/>
        <w:rPr>
          <w:lang w:val="en-GB"/>
        </w:rPr>
      </w:pPr>
      <w:r w:rsidRPr="007B5680">
        <w:rPr>
          <w:lang w:val="en-GB"/>
        </w:rPr>
        <w:t xml:space="preserve">This therefore exclude all </w:t>
      </w:r>
      <w:r w:rsidR="00200A01">
        <w:rPr>
          <w:lang w:val="en-GB"/>
        </w:rPr>
        <w:t>EPAC</w:t>
      </w:r>
      <w:r w:rsidRPr="007B5680">
        <w:rPr>
          <w:lang w:val="en-GB"/>
        </w:rPr>
        <w:t>s that are not self-propelled under its own power, they are assisted; no pedal, no power.</w:t>
      </w:r>
    </w:p>
    <w:p w:rsidR="009F414B" w:rsidRDefault="00200A01" w:rsidP="009B3D27">
      <w:pPr>
        <w:pStyle w:val="Paragraphtext"/>
        <w:numPr>
          <w:ilvl w:val="0"/>
          <w:numId w:val="9"/>
        </w:numPr>
        <w:rPr>
          <w:lang w:val="en-GB"/>
        </w:rPr>
      </w:pPr>
      <w:r>
        <w:rPr>
          <w:lang w:val="en-GB"/>
        </w:rPr>
        <w:t>EPAC</w:t>
      </w:r>
      <w:r w:rsidR="009F414B" w:rsidRPr="007B5680">
        <w:rPr>
          <w:lang w:val="en-GB"/>
        </w:rPr>
        <w:t>s are regulated and standardised within the European Standards Organisation (CEN) under working group TC333 which deals with bicycles, and has produced standard EN 15194</w:t>
      </w:r>
      <w:r w:rsidR="009F414B" w:rsidRPr="007B5680">
        <w:rPr>
          <w:rStyle w:val="FootnoteReference"/>
          <w:lang w:val="en-GB"/>
        </w:rPr>
        <w:footnoteReference w:id="11"/>
      </w:r>
    </w:p>
    <w:p w:rsidR="004A17C8" w:rsidRPr="007B5680" w:rsidRDefault="004A17C8" w:rsidP="009B3D27">
      <w:pPr>
        <w:pStyle w:val="Paragraphtext"/>
        <w:numPr>
          <w:ilvl w:val="0"/>
          <w:numId w:val="9"/>
        </w:numPr>
        <w:rPr>
          <w:lang w:val="en-GB"/>
        </w:rPr>
      </w:pPr>
      <w:r>
        <w:rPr>
          <w:lang w:val="en-GB"/>
        </w:rPr>
        <w:t xml:space="preserve">The </w:t>
      </w:r>
      <w:r w:rsidRPr="004A17C8">
        <w:rPr>
          <w:lang w:val="en-GB"/>
        </w:rPr>
        <w:t>German Council on Jurisdiction in Traffic</w:t>
      </w:r>
      <w:r>
        <w:rPr>
          <w:lang w:val="en-GB"/>
        </w:rPr>
        <w:t xml:space="preserve"> stated “</w:t>
      </w:r>
      <w:r>
        <w:t>cycles with pedal assist and start assist or push assist functions up to 6 km/h should still qualify as bicycles, provided the motor output does not exceed 250 Watt.”</w:t>
      </w:r>
      <w:r>
        <w:rPr>
          <w:rStyle w:val="FootnoteReference"/>
        </w:rPr>
        <w:footnoteReference w:id="12"/>
      </w:r>
    </w:p>
    <w:p w:rsidR="00D244FA" w:rsidRDefault="00D244FA" w:rsidP="009B3D27">
      <w:pPr>
        <w:pStyle w:val="Paragraphtext"/>
        <w:rPr>
          <w:lang w:val="en-GB"/>
        </w:rPr>
      </w:pPr>
    </w:p>
    <w:p w:rsidR="009F414B" w:rsidRDefault="00167219" w:rsidP="009B3D27">
      <w:pPr>
        <w:pStyle w:val="Paragraphtext"/>
        <w:rPr>
          <w:lang w:val="en-GB"/>
        </w:rPr>
      </w:pPr>
      <w:r>
        <w:rPr>
          <w:lang w:val="en-GB"/>
        </w:rPr>
        <w:t xml:space="preserve">Almost all </w:t>
      </w:r>
      <w:r w:rsidR="009F414B" w:rsidRPr="007B5680">
        <w:rPr>
          <w:lang w:val="en-GB"/>
        </w:rPr>
        <w:t>Member States</w:t>
      </w:r>
      <w:r>
        <w:rPr>
          <w:rStyle w:val="FootnoteReference"/>
          <w:lang w:val="en-GB"/>
        </w:rPr>
        <w:footnoteReference w:id="13"/>
      </w:r>
      <w:r w:rsidR="009F414B" w:rsidRPr="007B5680">
        <w:rPr>
          <w:lang w:val="en-GB"/>
        </w:rPr>
        <w:t xml:space="preserve"> </w:t>
      </w:r>
      <w:r>
        <w:rPr>
          <w:lang w:val="en-GB"/>
        </w:rPr>
        <w:t>treat</w:t>
      </w:r>
      <w:r w:rsidR="009F414B" w:rsidRPr="007B5680">
        <w:rPr>
          <w:lang w:val="en-GB"/>
        </w:rPr>
        <w:t xml:space="preserve"> </w:t>
      </w:r>
      <w:r w:rsidR="00200A01">
        <w:rPr>
          <w:lang w:val="en-GB"/>
        </w:rPr>
        <w:t>EPAC</w:t>
      </w:r>
      <w:r w:rsidRPr="007B5680">
        <w:rPr>
          <w:lang w:val="en-GB"/>
        </w:rPr>
        <w:t xml:space="preserve">s </w:t>
      </w:r>
      <w:r w:rsidR="009F414B" w:rsidRPr="007B5680">
        <w:rPr>
          <w:lang w:val="en-GB"/>
        </w:rPr>
        <w:t>as bicycles with regards to use on the roads, they can use cycle infrastructure, they do not require mandatory helmet use</w:t>
      </w:r>
      <w:r w:rsidR="009F414B">
        <w:rPr>
          <w:lang w:val="en-GB"/>
        </w:rPr>
        <w:t xml:space="preserve"> (unless the bicycle requires it)</w:t>
      </w:r>
      <w:r w:rsidR="009F414B" w:rsidRPr="007B5680">
        <w:rPr>
          <w:lang w:val="en-GB"/>
        </w:rPr>
        <w:t xml:space="preserve">, they do not </w:t>
      </w:r>
      <w:r w:rsidR="009F414B">
        <w:rPr>
          <w:lang w:val="en-GB"/>
        </w:rPr>
        <w:t>require license</w:t>
      </w:r>
      <w:r w:rsidR="002424CC">
        <w:rPr>
          <w:lang w:val="en-GB"/>
        </w:rPr>
        <w:t>, compulsory insurance</w:t>
      </w:r>
      <w:r w:rsidR="009F414B">
        <w:rPr>
          <w:lang w:val="en-GB"/>
        </w:rPr>
        <w:t xml:space="preserve"> or number plate</w:t>
      </w:r>
      <w:r w:rsidR="00D244FA">
        <w:rPr>
          <w:lang w:val="en-GB"/>
        </w:rPr>
        <w:t xml:space="preserve">. </w:t>
      </w:r>
    </w:p>
    <w:p w:rsidR="002B2646" w:rsidRDefault="002B2646" w:rsidP="009B3D27">
      <w:pPr>
        <w:pStyle w:val="Paragraphtext"/>
        <w:rPr>
          <w:lang w:val="en-GB"/>
        </w:rPr>
      </w:pPr>
    </w:p>
    <w:p w:rsidR="002B2646" w:rsidRDefault="002B2646" w:rsidP="009B3D27">
      <w:pPr>
        <w:pStyle w:val="Paragraphtext"/>
      </w:pPr>
      <w:r>
        <w:t xml:space="preserve">With regards the impact of the Directive on electric bicycles, we consider that </w:t>
      </w:r>
      <w:r w:rsidR="00200A01">
        <w:t>Electrically Assisted Pedal Cycles</w:t>
      </w:r>
      <w:r>
        <w:t xml:space="preserve"> where the motor does not work unless the rider pedals, do not fall within scope of the definition of a motor vehicle in the Directive as they are not propelled by mechanical power. </w:t>
      </w:r>
    </w:p>
    <w:p w:rsidR="009F414B" w:rsidRPr="00381E42" w:rsidRDefault="009F414B" w:rsidP="00381E42">
      <w:pPr>
        <w:pStyle w:val="Paragraphtext"/>
        <w:jc w:val="left"/>
        <w:rPr>
          <w:lang w:val="en-GB"/>
        </w:rPr>
      </w:pPr>
    </w:p>
    <w:p w:rsidR="0077688E" w:rsidRPr="001A2BFB" w:rsidRDefault="00167219" w:rsidP="00167219">
      <w:pPr>
        <w:pStyle w:val="ECFboldtext"/>
        <w:numPr>
          <w:ilvl w:val="0"/>
          <w:numId w:val="13"/>
        </w:numPr>
      </w:pPr>
      <w:r>
        <w:t xml:space="preserve"> </w:t>
      </w:r>
      <w:r w:rsidR="0077688E">
        <w:t xml:space="preserve">Inclusion would act as a barrier </w:t>
      </w:r>
      <w:r w:rsidR="0077688E" w:rsidRPr="001A2BFB">
        <w:t>to Electric</w:t>
      </w:r>
      <w:r w:rsidR="00200A01">
        <w:t>ally</w:t>
      </w:r>
      <w:r w:rsidR="0077688E" w:rsidRPr="001A2BFB">
        <w:t xml:space="preserve"> Assisted Pedal Cycles</w:t>
      </w:r>
    </w:p>
    <w:p w:rsidR="0077688E" w:rsidRPr="007B5680" w:rsidRDefault="0077688E" w:rsidP="0077688E">
      <w:pPr>
        <w:pStyle w:val="Paragraphtext"/>
        <w:jc w:val="left"/>
        <w:rPr>
          <w:lang w:val="en-GB"/>
        </w:rPr>
      </w:pPr>
    </w:p>
    <w:p w:rsidR="002424CC" w:rsidRDefault="009B3D27" w:rsidP="002424CC">
      <w:pPr>
        <w:pStyle w:val="Paragraphtext"/>
        <w:rPr>
          <w:lang w:val="en-GB"/>
        </w:rPr>
      </w:pPr>
      <w:r>
        <w:t>If these bicycles were within scope of the Directive we would be concerned that the additional cost and regulatory burden would damage the ambition of ECF and public authorities around the EU to make cycling</w:t>
      </w:r>
      <w:r w:rsidR="002424CC">
        <w:t>, pedelec</w:t>
      </w:r>
      <w:r>
        <w:t xml:space="preserve"> and walking natural choices for their health and environmental benefits. </w:t>
      </w:r>
      <w:r w:rsidR="002424CC" w:rsidRPr="007B5680">
        <w:rPr>
          <w:lang w:val="en-GB"/>
        </w:rPr>
        <w:t>The Inception Impact Assessment from the Commission</w:t>
      </w:r>
      <w:r w:rsidR="002424CC" w:rsidRPr="007B5680">
        <w:rPr>
          <w:rStyle w:val="FootnoteReference"/>
          <w:lang w:val="en-GB"/>
        </w:rPr>
        <w:footnoteReference w:id="14"/>
      </w:r>
      <w:r w:rsidR="002424CC" w:rsidRPr="007B5680">
        <w:rPr>
          <w:lang w:val="en-GB"/>
        </w:rPr>
        <w:t xml:space="preserve"> states that there are no environmental or social consequences to the updating of this Directive. We believe this to be incorrect and if </w:t>
      </w:r>
      <w:r w:rsidR="002424CC">
        <w:rPr>
          <w:lang w:val="en-GB"/>
        </w:rPr>
        <w:t>EPAC</w:t>
      </w:r>
      <w:r w:rsidR="002424CC" w:rsidRPr="007B5680">
        <w:rPr>
          <w:lang w:val="en-GB"/>
        </w:rPr>
        <w:t>s (or bicycles) were to be included within the Directive there would be environmental</w:t>
      </w:r>
      <w:r w:rsidR="002424CC">
        <w:rPr>
          <w:lang w:val="en-GB"/>
        </w:rPr>
        <w:t>, health</w:t>
      </w:r>
      <w:r w:rsidR="002424CC" w:rsidRPr="007B5680">
        <w:rPr>
          <w:lang w:val="en-GB"/>
        </w:rPr>
        <w:t xml:space="preserve"> and social consequence</w:t>
      </w:r>
      <w:r w:rsidR="002424CC">
        <w:rPr>
          <w:lang w:val="en-GB"/>
        </w:rPr>
        <w:t>s, as well as the increased</w:t>
      </w:r>
      <w:r w:rsidR="002424CC" w:rsidRPr="007B5680">
        <w:rPr>
          <w:lang w:val="en-GB"/>
        </w:rPr>
        <w:t xml:space="preserve"> administrative burden on public authorities, insurers, policy holders and users of these bikes, which has not been considered.</w:t>
      </w:r>
      <w:r w:rsidR="002424CC">
        <w:rPr>
          <w:lang w:val="en-GB"/>
        </w:rPr>
        <w:t xml:space="preserve"> </w:t>
      </w:r>
      <w:r w:rsidR="002424CC" w:rsidRPr="007B5680">
        <w:rPr>
          <w:lang w:val="en-GB"/>
        </w:rPr>
        <w:t xml:space="preserve">Creating a barrier to the continued use of </w:t>
      </w:r>
      <w:r w:rsidR="002424CC">
        <w:rPr>
          <w:lang w:val="en-GB"/>
        </w:rPr>
        <w:t xml:space="preserve">EPACs would also have major consequences, socially, economically, and environmentally. EPACs bring many benefits and negligible </w:t>
      </w:r>
      <w:r w:rsidR="002424CC">
        <w:rPr>
          <w:lang w:val="en-GB"/>
        </w:rPr>
        <w:lastRenderedPageBreak/>
        <w:t>costs, particularly when substituting car journeys</w:t>
      </w:r>
      <w:r w:rsidR="002424CC" w:rsidRPr="00F608D2">
        <w:rPr>
          <w:lang w:val="en-GB"/>
        </w:rPr>
        <w:t xml:space="preserve"> </w:t>
      </w:r>
      <w:r w:rsidR="002424CC">
        <w:rPr>
          <w:lang w:val="en-GB"/>
        </w:rPr>
        <w:t>that the European Commission impact assessment will have to take into account.</w:t>
      </w:r>
    </w:p>
    <w:p w:rsidR="009B3D27" w:rsidRPr="002424CC" w:rsidRDefault="009B3D27" w:rsidP="00336DC1">
      <w:pPr>
        <w:pStyle w:val="Paragraphtext"/>
        <w:rPr>
          <w:lang w:val="en-GB"/>
        </w:rPr>
      </w:pPr>
    </w:p>
    <w:p w:rsidR="001A4714" w:rsidRDefault="001A4714" w:rsidP="006F094C">
      <w:pPr>
        <w:pStyle w:val="Paragraphtext"/>
        <w:rPr>
          <w:lang w:val="en-GB"/>
        </w:rPr>
      </w:pPr>
    </w:p>
    <w:p w:rsidR="001A4714" w:rsidRDefault="00336DC1" w:rsidP="006F094C">
      <w:pPr>
        <w:pStyle w:val="Paragraphtext"/>
        <w:rPr>
          <w:lang w:val="en-GB"/>
        </w:rPr>
      </w:pPr>
      <w:r w:rsidRPr="007B5680">
        <w:rPr>
          <w:lang w:val="en-GB"/>
        </w:rPr>
        <w:t xml:space="preserve">The average annual growth rate in the years 2013–2015 for </w:t>
      </w:r>
      <w:r w:rsidR="00200A01">
        <w:rPr>
          <w:lang w:val="en-GB"/>
        </w:rPr>
        <w:t>EPAC</w:t>
      </w:r>
      <w:r w:rsidRPr="007B5680">
        <w:rPr>
          <w:lang w:val="en-GB"/>
        </w:rPr>
        <w:t xml:space="preserve"> sales stood at 16%. </w:t>
      </w:r>
      <w:r>
        <w:rPr>
          <w:lang w:val="en-GB"/>
        </w:rPr>
        <w:t xml:space="preserve">At this continued rate </w:t>
      </w:r>
      <w:r w:rsidRPr="007B5680">
        <w:rPr>
          <w:lang w:val="en-GB"/>
        </w:rPr>
        <w:t>about 12.3 million units will be sold in 2030 in the EU. This has a huge potential for substituting short, and middle distance, motor vehicle journeys</w:t>
      </w:r>
      <w:r w:rsidRPr="007B5680">
        <w:rPr>
          <w:rStyle w:val="FootnoteReference"/>
          <w:lang w:val="en-GB"/>
        </w:rPr>
        <w:footnoteReference w:id="15"/>
      </w:r>
      <w:r w:rsidRPr="007B5680">
        <w:rPr>
          <w:lang w:val="en-GB"/>
        </w:rPr>
        <w:t xml:space="preserve">. </w:t>
      </w:r>
      <w:r>
        <w:rPr>
          <w:lang w:val="en-GB"/>
        </w:rPr>
        <w:t>It has been shown around the EU that around half of all car journeys are under 5 - 7 km</w:t>
      </w:r>
      <w:r>
        <w:rPr>
          <w:rStyle w:val="FootnoteReference"/>
          <w:lang w:val="en-GB"/>
        </w:rPr>
        <w:footnoteReference w:id="16"/>
      </w:r>
      <w:r>
        <w:rPr>
          <w:lang w:val="en-GB"/>
        </w:rPr>
        <w:t>. These journeys are traditionally</w:t>
      </w:r>
      <w:r w:rsidR="009B3D27">
        <w:rPr>
          <w:lang w:val="en-GB"/>
        </w:rPr>
        <w:t xml:space="preserve"> </w:t>
      </w:r>
      <w:r>
        <w:rPr>
          <w:lang w:val="en-GB"/>
        </w:rPr>
        <w:t>at the outer limit of bicycle/car substitution, however it is very easily within range of electric assisted bicycles. E</w:t>
      </w:r>
      <w:r w:rsidRPr="007B5680">
        <w:rPr>
          <w:lang w:val="en-GB"/>
        </w:rPr>
        <w:t xml:space="preserve">CF estimate that there is a potential of generating about 103 billion extra km cycled on </w:t>
      </w:r>
      <w:r w:rsidR="00200A01">
        <w:rPr>
          <w:lang w:val="en-GB"/>
        </w:rPr>
        <w:t>EPAC</w:t>
      </w:r>
      <w:r w:rsidRPr="007B5680">
        <w:rPr>
          <w:lang w:val="en-GB"/>
        </w:rPr>
        <w:t xml:space="preserve">s by 2030 through an increase in </w:t>
      </w:r>
      <w:r w:rsidR="00200A01">
        <w:rPr>
          <w:lang w:val="en-GB"/>
        </w:rPr>
        <w:t>EPAC</w:t>
      </w:r>
      <w:r w:rsidRPr="007B5680">
        <w:rPr>
          <w:lang w:val="en-GB"/>
        </w:rPr>
        <w:t xml:space="preserve"> sales which would represent a 77% growth over current figures (134 billion km)</w:t>
      </w:r>
      <w:r>
        <w:rPr>
          <w:lang w:val="en-GB"/>
        </w:rPr>
        <w:t xml:space="preserve">. </w:t>
      </w:r>
    </w:p>
    <w:p w:rsidR="001A4714" w:rsidRDefault="001A4714" w:rsidP="006F094C">
      <w:pPr>
        <w:pStyle w:val="Paragraphtext"/>
        <w:rPr>
          <w:lang w:val="en-GB"/>
        </w:rPr>
      </w:pPr>
    </w:p>
    <w:p w:rsidR="00336DC1" w:rsidRPr="002424CC" w:rsidRDefault="00336DC1" w:rsidP="006F094C">
      <w:pPr>
        <w:pStyle w:val="Paragraphtext"/>
        <w:rPr>
          <w:b/>
          <w:i/>
          <w:u w:val="single"/>
          <w:lang w:val="en-GB"/>
        </w:rPr>
      </w:pPr>
      <w:r>
        <w:rPr>
          <w:lang w:val="en-GB"/>
        </w:rPr>
        <w:t xml:space="preserve">We anticipate an EU </w:t>
      </w:r>
      <w:r w:rsidR="00200A01">
        <w:rPr>
          <w:lang w:val="en-GB"/>
        </w:rPr>
        <w:t>EPAC</w:t>
      </w:r>
      <w:r>
        <w:rPr>
          <w:lang w:val="en-GB"/>
        </w:rPr>
        <w:t xml:space="preserve"> stock of around 62 million </w:t>
      </w:r>
      <w:r w:rsidR="00200A01">
        <w:rPr>
          <w:lang w:val="en-GB"/>
        </w:rPr>
        <w:t>bikes</w:t>
      </w:r>
      <w:r>
        <w:rPr>
          <w:lang w:val="en-GB"/>
        </w:rPr>
        <w:t xml:space="preserve"> by 2030. Germany, The Netherlands, Austria and Belgium are leading the way in </w:t>
      </w:r>
      <w:r w:rsidR="00200A01">
        <w:rPr>
          <w:lang w:val="en-GB"/>
        </w:rPr>
        <w:t>EPAC</w:t>
      </w:r>
      <w:r>
        <w:rPr>
          <w:lang w:val="en-GB"/>
        </w:rPr>
        <w:t xml:space="preserve"> sales, with Germany the highest at 605,000 </w:t>
      </w:r>
      <w:r w:rsidR="00200A01">
        <w:rPr>
          <w:lang w:val="en-GB"/>
        </w:rPr>
        <w:t>EPAC</w:t>
      </w:r>
      <w:r>
        <w:rPr>
          <w:lang w:val="en-GB"/>
        </w:rPr>
        <w:t xml:space="preserve"> sales</w:t>
      </w:r>
      <w:r>
        <w:rPr>
          <w:rStyle w:val="FootnoteReference"/>
          <w:lang w:val="en-GB"/>
        </w:rPr>
        <w:footnoteReference w:id="17"/>
      </w:r>
      <w:r>
        <w:rPr>
          <w:lang w:val="en-GB"/>
        </w:rPr>
        <w:t xml:space="preserve">. However the latest figures (2016 data) has seen a large jump in French and Italian sales taking off. </w:t>
      </w:r>
      <w:r w:rsidR="009B3D27">
        <w:rPr>
          <w:lang w:val="en-GB"/>
        </w:rPr>
        <w:t xml:space="preserve"> </w:t>
      </w:r>
      <w:r>
        <w:rPr>
          <w:lang w:val="en-GB"/>
        </w:rPr>
        <w:t xml:space="preserve">Outside of these leaders there is almost a non-existent growth of </w:t>
      </w:r>
      <w:r w:rsidR="00200A01">
        <w:rPr>
          <w:lang w:val="en-GB"/>
        </w:rPr>
        <w:t>EPAC</w:t>
      </w:r>
      <w:r>
        <w:rPr>
          <w:lang w:val="en-GB"/>
        </w:rPr>
        <w:t xml:space="preserve">s, </w:t>
      </w:r>
      <w:r w:rsidR="009B3D27">
        <w:rPr>
          <w:lang w:val="en-GB"/>
        </w:rPr>
        <w:t xml:space="preserve">the UK, Denmark, Sweden, and Spain lead the next highest sales figures with 75,000 to 45,000, after this there </w:t>
      </w:r>
      <w:r w:rsidR="002424CC">
        <w:rPr>
          <w:lang w:val="en-GB"/>
        </w:rPr>
        <w:t>are</w:t>
      </w:r>
      <w:r w:rsidR="009B3D27">
        <w:rPr>
          <w:lang w:val="en-GB"/>
        </w:rPr>
        <w:t xml:space="preserve"> negligible numbers. So</w:t>
      </w:r>
      <w:r>
        <w:rPr>
          <w:lang w:val="en-GB"/>
        </w:rPr>
        <w:t xml:space="preserve"> although there is strong growth in </w:t>
      </w:r>
      <w:r w:rsidRPr="009B3D27">
        <w:rPr>
          <w:lang w:val="en-GB"/>
        </w:rPr>
        <w:t xml:space="preserve">some Member States with commitment from their public authorities, all other Member States have seen little to no growth; overall the EU </w:t>
      </w:r>
      <w:r w:rsidR="00200A01">
        <w:rPr>
          <w:lang w:val="en-GB"/>
        </w:rPr>
        <w:t>EPAC</w:t>
      </w:r>
      <w:r w:rsidRPr="009B3D27">
        <w:rPr>
          <w:lang w:val="en-GB"/>
        </w:rPr>
        <w:t xml:space="preserve"> market remains one </w:t>
      </w:r>
      <w:r w:rsidR="00A761B2">
        <w:rPr>
          <w:lang w:val="en-GB"/>
        </w:rPr>
        <w:t xml:space="preserve">with </w:t>
      </w:r>
      <w:r w:rsidRPr="009B3D27">
        <w:rPr>
          <w:lang w:val="en-GB"/>
        </w:rPr>
        <w:t>great potential but with still fragile growth.</w:t>
      </w:r>
    </w:p>
    <w:p w:rsidR="00336DC1" w:rsidRDefault="002424CC" w:rsidP="006F094C">
      <w:pPr>
        <w:pStyle w:val="Paragraphtext"/>
        <w:rPr>
          <w:lang w:val="en-GB"/>
        </w:rPr>
      </w:pPr>
      <w:r>
        <w:rPr>
          <w:noProof/>
          <w:lang w:val="en-GB"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146685</wp:posOffset>
            </wp:positionV>
            <wp:extent cx="4945380" cy="37846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49693" cy="3788144"/>
                    </a:xfrm>
                    <a:prstGeom prst="rect">
                      <a:avLst/>
                    </a:prstGeom>
                  </pic:spPr>
                </pic:pic>
              </a:graphicData>
            </a:graphic>
            <wp14:sizeRelH relativeFrom="margin">
              <wp14:pctWidth>0</wp14:pctWidth>
            </wp14:sizeRelH>
            <wp14:sizeRelV relativeFrom="margin">
              <wp14:pctHeight>0</wp14:pctHeight>
            </wp14:sizeRelV>
          </wp:anchor>
        </w:drawing>
      </w:r>
    </w:p>
    <w:p w:rsidR="00A761B2" w:rsidRDefault="00A761B2" w:rsidP="006F094C">
      <w:pPr>
        <w:pStyle w:val="Paragraphtext"/>
        <w:rPr>
          <w:lang w:val="en-GB"/>
        </w:rPr>
      </w:pPr>
    </w:p>
    <w:p w:rsidR="00A761B2" w:rsidRDefault="00A761B2"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6F094C">
      <w:pPr>
        <w:pStyle w:val="Paragraphtext"/>
        <w:rPr>
          <w:lang w:val="en-GB"/>
        </w:rPr>
      </w:pPr>
    </w:p>
    <w:p w:rsidR="002424CC" w:rsidRDefault="002424CC" w:rsidP="002424CC">
      <w:pPr>
        <w:pStyle w:val="Paragraphtext"/>
        <w:rPr>
          <w:lang w:val="en-GB"/>
        </w:rPr>
      </w:pPr>
      <w:r>
        <w:t>2016 European EPAC Sales (EU 28)</w:t>
      </w:r>
      <w:r>
        <w:rPr>
          <w:rStyle w:val="FootnoteReference"/>
        </w:rPr>
        <w:footnoteReference w:id="18"/>
      </w:r>
    </w:p>
    <w:p w:rsidR="002424CC" w:rsidRDefault="002424CC" w:rsidP="006F094C">
      <w:pPr>
        <w:pStyle w:val="Paragraphtext"/>
        <w:rPr>
          <w:lang w:val="en-GB"/>
        </w:rPr>
      </w:pPr>
    </w:p>
    <w:p w:rsidR="006F094C" w:rsidRDefault="006F094C" w:rsidP="006F094C">
      <w:pPr>
        <w:pStyle w:val="Paragraphtext"/>
        <w:rPr>
          <w:lang w:val="en-GB"/>
        </w:rPr>
      </w:pPr>
      <w:r w:rsidRPr="007B5680">
        <w:rPr>
          <w:lang w:val="en-GB"/>
        </w:rPr>
        <w:t xml:space="preserve">Motorised transport has </w:t>
      </w:r>
      <w:r w:rsidR="00A761B2">
        <w:rPr>
          <w:lang w:val="en-GB"/>
        </w:rPr>
        <w:t>little</w:t>
      </w:r>
      <w:r w:rsidRPr="007B5680">
        <w:rPr>
          <w:lang w:val="en-GB"/>
        </w:rPr>
        <w:t xml:space="preserve"> benefits in the field of health, en</w:t>
      </w:r>
      <w:r w:rsidR="00C976D5">
        <w:rPr>
          <w:lang w:val="en-GB"/>
        </w:rPr>
        <w:t xml:space="preserve">vironmental, or social benefits, </w:t>
      </w:r>
      <w:r w:rsidRPr="007B5680">
        <w:rPr>
          <w:lang w:val="en-GB"/>
        </w:rPr>
        <w:t xml:space="preserve">the only economic benefits come in the form of manufacturing. When the negative externalities of car use are taken into account </w:t>
      </w:r>
      <w:r w:rsidR="00A645C3">
        <w:rPr>
          <w:lang w:val="en-GB"/>
        </w:rPr>
        <w:t xml:space="preserve">within social costs </w:t>
      </w:r>
      <w:r w:rsidRPr="007B5680">
        <w:rPr>
          <w:lang w:val="en-GB"/>
        </w:rPr>
        <w:t>then the economic benefits of motor</w:t>
      </w:r>
      <w:r w:rsidR="00A645C3">
        <w:rPr>
          <w:lang w:val="en-GB"/>
        </w:rPr>
        <w:t xml:space="preserve"> vehicle use are negated or exceeded. </w:t>
      </w:r>
      <w:r w:rsidRPr="007B5680">
        <w:rPr>
          <w:lang w:val="en-GB"/>
        </w:rPr>
        <w:t xml:space="preserve">However, bicycles and </w:t>
      </w:r>
      <w:r w:rsidR="00200A01">
        <w:rPr>
          <w:lang w:val="en-GB"/>
        </w:rPr>
        <w:t>EPAC</w:t>
      </w:r>
      <w:r>
        <w:rPr>
          <w:lang w:val="en-GB"/>
        </w:rPr>
        <w:t>s</w:t>
      </w:r>
      <w:r w:rsidRPr="007B5680">
        <w:rPr>
          <w:lang w:val="en-GB"/>
        </w:rPr>
        <w:t xml:space="preserve"> have many benefits that must be considered if there </w:t>
      </w:r>
      <w:r>
        <w:rPr>
          <w:lang w:val="en-GB"/>
        </w:rPr>
        <w:t xml:space="preserve">are to be changes in how the EU wishes to raise the costs to owning a </w:t>
      </w:r>
      <w:r w:rsidR="00200A01">
        <w:rPr>
          <w:lang w:val="en-GB"/>
        </w:rPr>
        <w:t>EPAC</w:t>
      </w:r>
      <w:r>
        <w:rPr>
          <w:lang w:val="en-GB"/>
        </w:rPr>
        <w:t xml:space="preserve"> which in turn </w:t>
      </w:r>
      <w:r w:rsidRPr="007B5680">
        <w:rPr>
          <w:lang w:val="en-GB"/>
        </w:rPr>
        <w:t xml:space="preserve">have the effect of acting as a barrier to </w:t>
      </w:r>
      <w:r w:rsidR="00200A01">
        <w:rPr>
          <w:lang w:val="en-GB"/>
        </w:rPr>
        <w:t>EPAC</w:t>
      </w:r>
      <w:r w:rsidRPr="007B5680">
        <w:rPr>
          <w:lang w:val="en-GB"/>
        </w:rPr>
        <w:t xml:space="preserve"> use.</w:t>
      </w:r>
    </w:p>
    <w:p w:rsidR="00A645C3" w:rsidRDefault="00A645C3" w:rsidP="006F094C">
      <w:pPr>
        <w:pStyle w:val="Paragraphtext"/>
        <w:rPr>
          <w:lang w:val="en-GB"/>
        </w:rPr>
      </w:pPr>
    </w:p>
    <w:p w:rsidR="00A645C3" w:rsidRDefault="00A645C3" w:rsidP="00A645C3">
      <w:pPr>
        <w:pStyle w:val="Paragraphtext"/>
        <w:rPr>
          <w:lang w:val="en-GB"/>
        </w:rPr>
      </w:pPr>
      <w:r>
        <w:rPr>
          <w:lang w:val="en-GB"/>
        </w:rPr>
        <w:t xml:space="preserve">The positive benefits of </w:t>
      </w:r>
      <w:r w:rsidR="00200A01">
        <w:rPr>
          <w:lang w:val="en-GB"/>
        </w:rPr>
        <w:t>EPAC</w:t>
      </w:r>
      <w:r>
        <w:rPr>
          <w:lang w:val="en-GB"/>
        </w:rPr>
        <w:t xml:space="preserve"> use ha</w:t>
      </w:r>
      <w:r w:rsidR="001A4714">
        <w:rPr>
          <w:lang w:val="en-GB"/>
        </w:rPr>
        <w:t>ve</w:t>
      </w:r>
      <w:r>
        <w:rPr>
          <w:lang w:val="en-GB"/>
        </w:rPr>
        <w:t xml:space="preserve"> been </w:t>
      </w:r>
      <w:r w:rsidR="001A4714">
        <w:rPr>
          <w:lang w:val="en-GB"/>
        </w:rPr>
        <w:t>variously documented;</w:t>
      </w:r>
    </w:p>
    <w:p w:rsidR="001A4714" w:rsidRDefault="001A4714" w:rsidP="00A645C3">
      <w:pPr>
        <w:pStyle w:val="Paragraphtext"/>
        <w:rPr>
          <w:lang w:val="en-GB"/>
        </w:rPr>
      </w:pPr>
    </w:p>
    <w:p w:rsidR="00A645C3" w:rsidRPr="00BC7490" w:rsidRDefault="00A645C3" w:rsidP="00A645C3">
      <w:pPr>
        <w:pStyle w:val="Paragraphtext"/>
        <w:numPr>
          <w:ilvl w:val="0"/>
          <w:numId w:val="9"/>
        </w:numPr>
        <w:rPr>
          <w:lang w:val="en-GB"/>
        </w:rPr>
      </w:pPr>
      <w:r w:rsidRPr="00BC7490">
        <w:rPr>
          <w:lang w:val="en-GB"/>
        </w:rPr>
        <w:t xml:space="preserve">An ECF study </w:t>
      </w:r>
      <w:r w:rsidR="001A4714">
        <w:rPr>
          <w:lang w:val="en-GB"/>
        </w:rPr>
        <w:t>states</w:t>
      </w:r>
      <w:r w:rsidRPr="00BC7490">
        <w:rPr>
          <w:lang w:val="en-GB"/>
        </w:rPr>
        <w:t xml:space="preserve"> that for each kilometre cycled, </w:t>
      </w:r>
      <w:r w:rsidR="00200A01">
        <w:rPr>
          <w:lang w:val="en-GB"/>
        </w:rPr>
        <w:t>EPAC</w:t>
      </w:r>
      <w:r w:rsidRPr="00BC7490">
        <w:rPr>
          <w:lang w:val="en-GB"/>
        </w:rPr>
        <w:t>s have</w:t>
      </w:r>
      <w:r>
        <w:rPr>
          <w:lang w:val="en-GB"/>
        </w:rPr>
        <w:t xml:space="preserve"> Co2 </w:t>
      </w:r>
      <w:r w:rsidRPr="00BC7490">
        <w:rPr>
          <w:lang w:val="en-GB"/>
        </w:rPr>
        <w:t xml:space="preserve">emissions of about 22 grams, in the same range as those of a normal bicycle compared to </w:t>
      </w:r>
      <w:r>
        <w:rPr>
          <w:lang w:val="en-GB"/>
        </w:rPr>
        <w:t>271</w:t>
      </w:r>
      <w:r w:rsidRPr="00BC7490">
        <w:rPr>
          <w:lang w:val="en-GB"/>
        </w:rPr>
        <w:t xml:space="preserve"> grams for most cars</w:t>
      </w:r>
      <w:r>
        <w:rPr>
          <w:rStyle w:val="FootnoteReference"/>
          <w:lang w:val="en-GB"/>
        </w:rPr>
        <w:footnoteReference w:id="19"/>
      </w:r>
    </w:p>
    <w:p w:rsidR="001A4714" w:rsidRDefault="00A645C3" w:rsidP="00A645C3">
      <w:pPr>
        <w:pStyle w:val="Paragraphtext"/>
        <w:numPr>
          <w:ilvl w:val="0"/>
          <w:numId w:val="9"/>
        </w:numPr>
        <w:rPr>
          <w:lang w:val="en-GB"/>
        </w:rPr>
      </w:pPr>
      <w:r>
        <w:rPr>
          <w:lang w:val="en-GB"/>
        </w:rPr>
        <w:t xml:space="preserve">The intensity required on an </w:t>
      </w:r>
      <w:r w:rsidR="00200A01">
        <w:rPr>
          <w:lang w:val="en-GB"/>
        </w:rPr>
        <w:t>EPAC</w:t>
      </w:r>
      <w:r>
        <w:rPr>
          <w:lang w:val="en-GB"/>
        </w:rPr>
        <w:t xml:space="preserve"> is slightly less than that of a bicycle but is still sufficiently high to bring about more than 3 </w:t>
      </w:r>
      <w:r>
        <w:rPr>
          <w:rStyle w:val="st"/>
        </w:rPr>
        <w:t>Metabolic Equivalent of Task (</w:t>
      </w:r>
      <w:r>
        <w:rPr>
          <w:lang w:val="en-GB"/>
        </w:rPr>
        <w:t>MET)</w:t>
      </w:r>
      <w:r>
        <w:rPr>
          <w:rStyle w:val="FootnoteReference"/>
          <w:lang w:val="en-GB"/>
        </w:rPr>
        <w:footnoteReference w:id="20"/>
      </w:r>
      <w:r>
        <w:rPr>
          <w:lang w:val="en-GB"/>
        </w:rPr>
        <w:t xml:space="preserve"> for each journey. 3 MET is required for the promotion of health in activity. </w:t>
      </w:r>
    </w:p>
    <w:p w:rsidR="00A645C3" w:rsidRPr="00BC7490" w:rsidRDefault="00A645C3" w:rsidP="00A645C3">
      <w:pPr>
        <w:pStyle w:val="Paragraphtext"/>
        <w:numPr>
          <w:ilvl w:val="0"/>
          <w:numId w:val="9"/>
        </w:numPr>
        <w:rPr>
          <w:lang w:val="en-GB"/>
        </w:rPr>
      </w:pPr>
      <w:r>
        <w:rPr>
          <w:lang w:val="en-GB"/>
        </w:rPr>
        <w:t>The Smart eBikes Project</w:t>
      </w:r>
      <w:r>
        <w:rPr>
          <w:rStyle w:val="FootnoteReference"/>
          <w:lang w:val="en-GB"/>
        </w:rPr>
        <w:footnoteReference w:id="21"/>
      </w:r>
      <w:r>
        <w:rPr>
          <w:lang w:val="en-GB"/>
        </w:rPr>
        <w:t xml:space="preserve"> showed that </w:t>
      </w:r>
      <w:r w:rsidR="00200A01">
        <w:rPr>
          <w:lang w:val="en-GB"/>
        </w:rPr>
        <w:t>EPAC</w:t>
      </w:r>
      <w:r>
        <w:rPr>
          <w:lang w:val="en-GB"/>
        </w:rPr>
        <w:t>s also keep people cycling for longer, t</w:t>
      </w:r>
      <w:r>
        <w:t xml:space="preserve">he proportion of their participants who said they would cycle to work at least one day a week rose from 30% to 75% with an available </w:t>
      </w:r>
      <w:r w:rsidR="00200A01">
        <w:t>EPAC</w:t>
      </w:r>
    </w:p>
    <w:p w:rsidR="00A645C3" w:rsidRDefault="00A645C3" w:rsidP="00A645C3">
      <w:pPr>
        <w:pStyle w:val="Paragraphtext"/>
        <w:numPr>
          <w:ilvl w:val="0"/>
          <w:numId w:val="9"/>
        </w:numPr>
        <w:rPr>
          <w:lang w:val="en-GB"/>
        </w:rPr>
      </w:pPr>
      <w:r w:rsidRPr="00BC7490">
        <w:rPr>
          <w:lang w:val="en-GB"/>
        </w:rPr>
        <w:lastRenderedPageBreak/>
        <w:t>According to a Dutch study, on a</w:t>
      </w:r>
      <w:r>
        <w:rPr>
          <w:lang w:val="en-GB"/>
        </w:rPr>
        <w:t xml:space="preserve"> weekly basis </w:t>
      </w:r>
      <w:r w:rsidR="00200A01">
        <w:rPr>
          <w:lang w:val="en-GB"/>
        </w:rPr>
        <w:t>EPAC</w:t>
      </w:r>
      <w:r>
        <w:rPr>
          <w:lang w:val="en-GB"/>
        </w:rPr>
        <w:t xml:space="preserve">s cover, for all purposes, on </w:t>
      </w:r>
      <w:r w:rsidRPr="00BC7490">
        <w:rPr>
          <w:lang w:val="en-GB"/>
        </w:rPr>
        <w:t>average 22% more kilometres than normal bicycles. For commuters, this difference extends to 75%</w:t>
      </w:r>
      <w:r>
        <w:rPr>
          <w:rStyle w:val="FootnoteReference"/>
          <w:lang w:val="en-GB"/>
        </w:rPr>
        <w:footnoteReference w:id="22"/>
      </w:r>
    </w:p>
    <w:p w:rsidR="00A645C3" w:rsidRDefault="00A645C3" w:rsidP="00A645C3">
      <w:pPr>
        <w:pStyle w:val="Paragraphtext"/>
        <w:numPr>
          <w:ilvl w:val="0"/>
          <w:numId w:val="9"/>
        </w:numPr>
        <w:rPr>
          <w:lang w:val="en-GB"/>
        </w:rPr>
      </w:pPr>
      <w:r w:rsidRPr="00AC0B3C">
        <w:rPr>
          <w:lang w:val="en-GB"/>
        </w:rPr>
        <w:t>The use of</w:t>
      </w:r>
      <w:r>
        <w:rPr>
          <w:lang w:val="en-GB"/>
        </w:rPr>
        <w:t xml:space="preserve"> </w:t>
      </w:r>
      <w:r w:rsidRPr="00AC0B3C">
        <w:rPr>
          <w:lang w:val="en-GB"/>
        </w:rPr>
        <w:t xml:space="preserve">an </w:t>
      </w:r>
      <w:r w:rsidR="00200A01">
        <w:rPr>
          <w:lang w:val="en-GB"/>
        </w:rPr>
        <w:t>EPAC</w:t>
      </w:r>
      <w:r>
        <w:rPr>
          <w:lang w:val="en-GB"/>
        </w:rPr>
        <w:t xml:space="preserve"> </w:t>
      </w:r>
      <w:r w:rsidRPr="00AC0B3C">
        <w:rPr>
          <w:lang w:val="en-GB"/>
        </w:rPr>
        <w:t>also influences the use</w:t>
      </w:r>
      <w:r>
        <w:rPr>
          <w:lang w:val="en-GB"/>
        </w:rPr>
        <w:t xml:space="preserve"> </w:t>
      </w:r>
      <w:r w:rsidRPr="00AC0B3C">
        <w:rPr>
          <w:lang w:val="en-GB"/>
        </w:rPr>
        <w:t>of</w:t>
      </w:r>
      <w:r>
        <w:rPr>
          <w:lang w:val="en-GB"/>
        </w:rPr>
        <w:t xml:space="preserve"> </w:t>
      </w:r>
      <w:r w:rsidRPr="00AC0B3C">
        <w:rPr>
          <w:lang w:val="en-GB"/>
        </w:rPr>
        <w:t>other modes</w:t>
      </w:r>
      <w:r>
        <w:rPr>
          <w:lang w:val="en-GB"/>
        </w:rPr>
        <w:t xml:space="preserve"> of transport</w:t>
      </w:r>
      <w:r w:rsidRPr="00AC0B3C">
        <w:rPr>
          <w:lang w:val="en-GB"/>
        </w:rPr>
        <w:t xml:space="preserve"> </w:t>
      </w:r>
      <w:r w:rsidR="00200A01">
        <w:rPr>
          <w:lang w:val="en-GB"/>
        </w:rPr>
        <w:t>EPAC</w:t>
      </w:r>
      <w:r w:rsidRPr="00AC0B3C">
        <w:rPr>
          <w:lang w:val="en-GB"/>
        </w:rPr>
        <w:t>s most often are a substitute for the bicycle (45%) or the car (39%)</w:t>
      </w:r>
      <w:r>
        <w:rPr>
          <w:rStyle w:val="FootnoteReference"/>
          <w:lang w:val="en-GB"/>
        </w:rPr>
        <w:footnoteReference w:id="23"/>
      </w:r>
      <w:r>
        <w:rPr>
          <w:lang w:val="en-GB"/>
        </w:rPr>
        <w:t>. A net increase of active transport use.</w:t>
      </w:r>
    </w:p>
    <w:p w:rsidR="00C976D5" w:rsidRDefault="00200A01" w:rsidP="00C976D5">
      <w:pPr>
        <w:pStyle w:val="Paragraphtext"/>
        <w:numPr>
          <w:ilvl w:val="0"/>
          <w:numId w:val="9"/>
        </w:numPr>
        <w:rPr>
          <w:lang w:val="en-GB"/>
        </w:rPr>
      </w:pPr>
      <w:r>
        <w:rPr>
          <w:lang w:val="en-GB"/>
        </w:rPr>
        <w:t>EPAC</w:t>
      </w:r>
      <w:r w:rsidR="00A645C3">
        <w:rPr>
          <w:lang w:val="en-GB"/>
        </w:rPr>
        <w:t xml:space="preserve">s can contribute to a major shift from car use to bike use, a Swiss study showed that </w:t>
      </w:r>
      <w:r w:rsidR="00A645C3">
        <w:rPr>
          <w:lang w:val="en"/>
        </w:rPr>
        <w:t>60% of the people within the study who own a car, indicate they use the car "much rarer” or "less frequently”</w:t>
      </w:r>
      <w:r w:rsidR="00A645C3">
        <w:rPr>
          <w:rStyle w:val="FootnoteReference"/>
          <w:lang w:val="en-GB"/>
        </w:rPr>
        <w:footnoteReference w:id="24"/>
      </w:r>
      <w:r w:rsidR="00A645C3">
        <w:rPr>
          <w:lang w:val="en"/>
        </w:rPr>
        <w:t xml:space="preserve">. </w:t>
      </w:r>
    </w:p>
    <w:p w:rsidR="00C93F1D" w:rsidRDefault="00200A01" w:rsidP="00A645C3">
      <w:pPr>
        <w:pStyle w:val="Paragraphtext"/>
        <w:numPr>
          <w:ilvl w:val="0"/>
          <w:numId w:val="9"/>
        </w:numPr>
        <w:rPr>
          <w:lang w:val="en-GB"/>
        </w:rPr>
      </w:pPr>
      <w:r>
        <w:rPr>
          <w:lang w:val="en-GB"/>
        </w:rPr>
        <w:t>EPAC</w:t>
      </w:r>
      <w:r w:rsidR="00C976D5">
        <w:rPr>
          <w:lang w:val="en-GB"/>
        </w:rPr>
        <w:t>s are a way of overcoming some of the barriers to cycling such as hilly areas, long distances, elderly rider population, hot weather, general unfitness</w:t>
      </w:r>
      <w:r w:rsidR="00C976D5">
        <w:rPr>
          <w:rStyle w:val="FootnoteReference"/>
          <w:lang w:val="en-GB"/>
        </w:rPr>
        <w:footnoteReference w:id="25"/>
      </w:r>
      <w:r w:rsidR="00C93F1D">
        <w:rPr>
          <w:lang w:val="en-GB"/>
        </w:rPr>
        <w:t>. This not only keeps people using active transport, but also entices new users</w:t>
      </w:r>
      <w:r w:rsidR="00C93F1D">
        <w:rPr>
          <w:rStyle w:val="FootnoteReference"/>
          <w:lang w:val="en-GB"/>
        </w:rPr>
        <w:footnoteReference w:id="26"/>
      </w:r>
    </w:p>
    <w:p w:rsidR="001A4714" w:rsidRPr="001A4714" w:rsidRDefault="001A4714" w:rsidP="001A4714">
      <w:pPr>
        <w:pStyle w:val="Paragraphtext"/>
        <w:numPr>
          <w:ilvl w:val="0"/>
          <w:numId w:val="9"/>
        </w:numPr>
        <w:rPr>
          <w:lang w:val="en-GB"/>
        </w:rPr>
      </w:pPr>
      <w:r>
        <w:rPr>
          <w:lang w:val="en-GB"/>
        </w:rPr>
        <w:t>There are many studies researching the beneficial health benefits of EPACs use</w:t>
      </w:r>
      <w:r>
        <w:rPr>
          <w:rStyle w:val="FootnoteReference"/>
          <w:lang w:val="en-GB"/>
        </w:rPr>
        <w:footnoteReference w:id="27"/>
      </w:r>
    </w:p>
    <w:p w:rsidR="00A645C3" w:rsidRPr="00C93F1D" w:rsidRDefault="00A645C3" w:rsidP="00C93F1D">
      <w:pPr>
        <w:pStyle w:val="Paragraphtext"/>
        <w:numPr>
          <w:ilvl w:val="0"/>
          <w:numId w:val="9"/>
        </w:numPr>
        <w:rPr>
          <w:lang w:val="en-GB"/>
        </w:rPr>
      </w:pPr>
      <w:r w:rsidRPr="00C93F1D">
        <w:rPr>
          <w:lang w:val="en-GB"/>
        </w:rPr>
        <w:t>The impact of bicycles on public health is even better documented</w:t>
      </w:r>
      <w:r w:rsidR="002410A1" w:rsidRPr="00C93F1D">
        <w:rPr>
          <w:lang w:val="en-GB"/>
        </w:rPr>
        <w:t>.</w:t>
      </w:r>
      <w:r w:rsidR="002410A1">
        <w:rPr>
          <w:rStyle w:val="FootnoteReference"/>
          <w:lang w:val="en-GB"/>
        </w:rPr>
        <w:footnoteReference w:id="28"/>
      </w:r>
    </w:p>
    <w:p w:rsidR="00A645C3" w:rsidRDefault="00A645C3" w:rsidP="006F094C">
      <w:pPr>
        <w:pStyle w:val="Paragraphtext"/>
        <w:rPr>
          <w:lang w:val="en-GB"/>
        </w:rPr>
      </w:pPr>
    </w:p>
    <w:p w:rsidR="001A4714" w:rsidRDefault="005C5D2F" w:rsidP="00A761B2">
      <w:pPr>
        <w:pStyle w:val="Paragraphtext"/>
        <w:jc w:val="left"/>
        <w:rPr>
          <w:lang w:val="en-GB"/>
        </w:rPr>
      </w:pPr>
      <w:r>
        <w:rPr>
          <w:lang w:val="en-GB"/>
        </w:rPr>
        <w:t>Given the relative new arrival of these bikes t</w:t>
      </w:r>
      <w:r w:rsidR="00167219">
        <w:rPr>
          <w:lang w:val="en-GB"/>
        </w:rPr>
        <w:t xml:space="preserve">here is very little data that provides evidence of </w:t>
      </w:r>
      <w:r w:rsidR="00200A01">
        <w:rPr>
          <w:lang w:val="en-GB"/>
        </w:rPr>
        <w:t>EPAC</w:t>
      </w:r>
      <w:r w:rsidR="00167219">
        <w:rPr>
          <w:lang w:val="en-GB"/>
        </w:rPr>
        <w:t xml:space="preserve"> reduction in numbers </w:t>
      </w:r>
      <w:r>
        <w:rPr>
          <w:lang w:val="en-GB"/>
        </w:rPr>
        <w:t>due to</w:t>
      </w:r>
      <w:r w:rsidR="00167219">
        <w:rPr>
          <w:lang w:val="en-GB"/>
        </w:rPr>
        <w:t xml:space="preserve"> regulatory over burden</w:t>
      </w:r>
      <w:r w:rsidR="006054B9">
        <w:rPr>
          <w:lang w:val="en-GB"/>
        </w:rPr>
        <w:t>, since public authorities have either welcomed these bikes and seen massive growth or have not seen any growth and are unaware of them</w:t>
      </w:r>
      <w:r w:rsidR="00167219">
        <w:rPr>
          <w:lang w:val="en-GB"/>
        </w:rPr>
        <w:t>. However, in Malta ECF members BAG conducted a bicycle count survey</w:t>
      </w:r>
      <w:r w:rsidR="00167219">
        <w:rPr>
          <w:rStyle w:val="FootnoteReference"/>
          <w:lang w:val="en-GB"/>
        </w:rPr>
        <w:footnoteReference w:id="29"/>
      </w:r>
      <w:r w:rsidR="00167219">
        <w:rPr>
          <w:lang w:val="en-GB"/>
        </w:rPr>
        <w:t xml:space="preserve"> and compared data from 2012 to 2015, in 2012</w:t>
      </w:r>
      <w:r w:rsidR="001A4714">
        <w:rPr>
          <w:lang w:val="en-GB"/>
        </w:rPr>
        <w:t>/13</w:t>
      </w:r>
      <w:r w:rsidR="00167219">
        <w:rPr>
          <w:lang w:val="en-GB"/>
        </w:rPr>
        <w:t xml:space="preserve"> public authorities introduced more stringent regulations for the use of </w:t>
      </w:r>
      <w:r w:rsidR="00200A01">
        <w:rPr>
          <w:lang w:val="en-GB"/>
        </w:rPr>
        <w:t>EPAC</w:t>
      </w:r>
      <w:r w:rsidR="00167219">
        <w:rPr>
          <w:lang w:val="en-GB"/>
        </w:rPr>
        <w:t xml:space="preserve">s on the island, this included registration and compulsory insurance, </w:t>
      </w:r>
      <w:r w:rsidR="00200A01">
        <w:rPr>
          <w:lang w:val="en-GB"/>
        </w:rPr>
        <w:t>EPAC</w:t>
      </w:r>
      <w:r w:rsidR="00167219">
        <w:rPr>
          <w:lang w:val="en-GB"/>
        </w:rPr>
        <w:t xml:space="preserve">s use fell year on year (84% the first year and then 15% in 2015) even while bicycle use grew. </w:t>
      </w:r>
      <w:r w:rsidR="00FD5412">
        <w:rPr>
          <w:lang w:val="en-GB"/>
        </w:rPr>
        <w:t xml:space="preserve">Though figures are small in Malta </w:t>
      </w:r>
      <w:r w:rsidR="00167219">
        <w:rPr>
          <w:lang w:val="en-GB"/>
        </w:rPr>
        <w:t xml:space="preserve">this is still </w:t>
      </w:r>
      <w:r w:rsidR="00FD5412">
        <w:rPr>
          <w:lang w:val="en-GB"/>
        </w:rPr>
        <w:t xml:space="preserve">very </w:t>
      </w:r>
      <w:r w:rsidR="00167219">
        <w:rPr>
          <w:lang w:val="en-GB"/>
        </w:rPr>
        <w:t xml:space="preserve">instructive, especially as we have seen bicycle use grow there. Anecdotally, Northern Ireland has seen suspension of sales of </w:t>
      </w:r>
      <w:r w:rsidR="00200A01">
        <w:rPr>
          <w:lang w:val="en-GB"/>
        </w:rPr>
        <w:t>EPAC</w:t>
      </w:r>
      <w:r w:rsidR="00167219">
        <w:rPr>
          <w:lang w:val="en-GB"/>
        </w:rPr>
        <w:t>s</w:t>
      </w:r>
      <w:r w:rsidR="00167219">
        <w:rPr>
          <w:rStyle w:val="FootnoteReference"/>
          <w:lang w:val="en-GB"/>
        </w:rPr>
        <w:footnoteReference w:id="30"/>
      </w:r>
      <w:r w:rsidR="00167219">
        <w:rPr>
          <w:lang w:val="en-GB"/>
        </w:rPr>
        <w:t xml:space="preserve"> due to the strict regulation of </w:t>
      </w:r>
      <w:r w:rsidR="00200A01">
        <w:rPr>
          <w:lang w:val="en-GB"/>
        </w:rPr>
        <w:t>EPAC</w:t>
      </w:r>
      <w:r w:rsidR="00167219">
        <w:rPr>
          <w:lang w:val="en-GB"/>
        </w:rPr>
        <w:t>s that has been put in place there.</w:t>
      </w:r>
      <w:r w:rsidR="00C976D5">
        <w:rPr>
          <w:lang w:val="en-GB"/>
        </w:rPr>
        <w:t xml:space="preserve"> </w:t>
      </w:r>
    </w:p>
    <w:p w:rsidR="001A4714" w:rsidRDefault="001A4714" w:rsidP="00A761B2">
      <w:pPr>
        <w:pStyle w:val="Paragraphtext"/>
        <w:jc w:val="left"/>
        <w:rPr>
          <w:lang w:val="en-GB"/>
        </w:rPr>
      </w:pPr>
    </w:p>
    <w:p w:rsidR="00200A01" w:rsidRDefault="00167219" w:rsidP="00A761B2">
      <w:pPr>
        <w:pStyle w:val="Paragraphtext"/>
        <w:jc w:val="left"/>
        <w:rPr>
          <w:color w:val="1F3864" w:themeColor="accent5" w:themeShade="80"/>
          <w:lang w:val="en-GB"/>
        </w:rPr>
      </w:pPr>
      <w:r>
        <w:rPr>
          <w:lang w:val="en-GB"/>
        </w:rPr>
        <w:t xml:space="preserve">Though there is not a great deal of evidence for us to work with </w:t>
      </w:r>
      <w:r w:rsidR="00877191">
        <w:rPr>
          <w:lang w:val="en-GB"/>
        </w:rPr>
        <w:t>for</w:t>
      </w:r>
      <w:r>
        <w:rPr>
          <w:lang w:val="en-GB"/>
        </w:rPr>
        <w:t xml:space="preserve"> these new electric bicycles, we do have experience of dealing with barriers to cycling and</w:t>
      </w:r>
      <w:r w:rsidR="005C5D2F">
        <w:rPr>
          <w:lang w:val="en-GB"/>
        </w:rPr>
        <w:t xml:space="preserve"> the effects on cycling numbers, and the difficulty in moving people from habitual car use over short distances to active transport modes.</w:t>
      </w:r>
      <w:r w:rsidR="00A761B2">
        <w:rPr>
          <w:lang w:val="en-GB"/>
        </w:rPr>
        <w:t xml:space="preserve"> For example compulsory</w:t>
      </w:r>
      <w:r w:rsidR="00A761B2">
        <w:rPr>
          <w:color w:val="FF0000"/>
          <w:lang w:val="en-GB"/>
        </w:rPr>
        <w:t xml:space="preserve"> </w:t>
      </w:r>
      <w:r w:rsidR="00A761B2" w:rsidRPr="00A761B2">
        <w:rPr>
          <w:color w:val="1F3864" w:themeColor="accent5" w:themeShade="80"/>
          <w:lang w:val="en-GB"/>
        </w:rPr>
        <w:t>bicycle h</w:t>
      </w:r>
      <w:r w:rsidR="005C5D2F" w:rsidRPr="00A761B2">
        <w:rPr>
          <w:color w:val="1F3864" w:themeColor="accent5" w:themeShade="80"/>
          <w:lang w:val="en-GB"/>
        </w:rPr>
        <w:t xml:space="preserve">elmet legislation in Australia saw a </w:t>
      </w:r>
      <w:r w:rsidR="00C976D5" w:rsidRPr="00A761B2">
        <w:rPr>
          <w:color w:val="1F3864" w:themeColor="accent5" w:themeShade="80"/>
          <w:lang w:val="en-GB"/>
        </w:rPr>
        <w:t xml:space="preserve">major </w:t>
      </w:r>
      <w:r w:rsidR="005C5D2F" w:rsidRPr="00A761B2">
        <w:rPr>
          <w:color w:val="1F3864" w:themeColor="accent5" w:themeShade="80"/>
          <w:lang w:val="en-GB"/>
        </w:rPr>
        <w:t>reduction in cycling numbers of 30-40%</w:t>
      </w:r>
      <w:r w:rsidR="005C5D2F" w:rsidRPr="00A761B2">
        <w:rPr>
          <w:rStyle w:val="FootnoteReference"/>
          <w:color w:val="1F3864" w:themeColor="accent5" w:themeShade="80"/>
          <w:lang w:val="en-GB"/>
        </w:rPr>
        <w:footnoteReference w:id="31"/>
      </w:r>
      <w:r w:rsidR="005C5D2F" w:rsidRPr="00A761B2">
        <w:rPr>
          <w:color w:val="1F3864" w:themeColor="accent5" w:themeShade="80"/>
          <w:lang w:val="en-GB"/>
        </w:rPr>
        <w:t>, this was mirrored in other countries</w:t>
      </w:r>
      <w:r w:rsidR="00C976D5" w:rsidRPr="00A761B2">
        <w:rPr>
          <w:rStyle w:val="FootnoteReference"/>
          <w:color w:val="1F3864" w:themeColor="accent5" w:themeShade="80"/>
          <w:lang w:val="en-GB"/>
        </w:rPr>
        <w:footnoteReference w:id="32"/>
      </w:r>
    </w:p>
    <w:p w:rsidR="001A4714" w:rsidRPr="00A761B2" w:rsidRDefault="001A4714" w:rsidP="00A761B2">
      <w:pPr>
        <w:pStyle w:val="Paragraphtext"/>
        <w:jc w:val="left"/>
        <w:rPr>
          <w:lang w:val="en-GB"/>
        </w:rPr>
      </w:pPr>
    </w:p>
    <w:p w:rsidR="0077688E" w:rsidRDefault="0077688E" w:rsidP="0077688E">
      <w:pPr>
        <w:pStyle w:val="Paragraphtext"/>
        <w:rPr>
          <w:lang w:val="en-GB"/>
        </w:rPr>
      </w:pPr>
    </w:p>
    <w:p w:rsidR="00237BB2" w:rsidRPr="00237BB2" w:rsidRDefault="004E616C" w:rsidP="00167219">
      <w:pPr>
        <w:pStyle w:val="ECFboldtext"/>
        <w:numPr>
          <w:ilvl w:val="0"/>
          <w:numId w:val="13"/>
        </w:numPr>
      </w:pPr>
      <w:r>
        <w:lastRenderedPageBreak/>
        <w:t xml:space="preserve"> </w:t>
      </w:r>
      <w:r w:rsidR="00200A01">
        <w:t>EPAC</w:t>
      </w:r>
      <w:r w:rsidR="00237BB2">
        <w:t>s</w:t>
      </w:r>
      <w:r w:rsidR="00237BB2" w:rsidRPr="00237BB2">
        <w:t xml:space="preserve"> are not an overly risky mode of transport</w:t>
      </w:r>
    </w:p>
    <w:p w:rsidR="00237BB2" w:rsidRPr="007B5680" w:rsidRDefault="00237BB2" w:rsidP="00237BB2">
      <w:pPr>
        <w:pStyle w:val="Paragraphtext"/>
        <w:rPr>
          <w:lang w:val="en-GB"/>
        </w:rPr>
      </w:pPr>
    </w:p>
    <w:p w:rsidR="00237BB2" w:rsidRPr="007B5680" w:rsidRDefault="00237BB2" w:rsidP="00237BB2">
      <w:pPr>
        <w:pStyle w:val="Paragraphtext"/>
        <w:rPr>
          <w:lang w:val="en-GB"/>
        </w:rPr>
      </w:pPr>
      <w:r>
        <w:rPr>
          <w:lang w:val="en-GB"/>
        </w:rPr>
        <w:t xml:space="preserve"> “</w:t>
      </w:r>
      <w:r w:rsidRPr="00E342BB">
        <w:rPr>
          <w:lang w:val="en-GB"/>
        </w:rPr>
        <w:t>One of the main factors contributing to the increase</w:t>
      </w:r>
      <w:r>
        <w:rPr>
          <w:lang w:val="en-GB"/>
        </w:rPr>
        <w:t xml:space="preserve"> </w:t>
      </w:r>
      <w:r w:rsidRPr="00E342BB">
        <w:rPr>
          <w:lang w:val="en-GB"/>
        </w:rPr>
        <w:t>in global road crash injuries is the growing number</w:t>
      </w:r>
      <w:r>
        <w:rPr>
          <w:lang w:val="en-GB"/>
        </w:rPr>
        <w:t xml:space="preserve"> </w:t>
      </w:r>
      <w:r w:rsidRPr="00E342BB">
        <w:rPr>
          <w:lang w:val="en-GB"/>
        </w:rPr>
        <w:t>of motor vehicles</w:t>
      </w:r>
      <w:r>
        <w:rPr>
          <w:lang w:val="en-GB"/>
        </w:rPr>
        <w:t>.”</w:t>
      </w:r>
      <w:r w:rsidRPr="008F3C00">
        <w:rPr>
          <w:rStyle w:val="FootnoteReference"/>
          <w:lang w:val="en-GB"/>
        </w:rPr>
        <w:t xml:space="preserve"> </w:t>
      </w:r>
      <w:r>
        <w:rPr>
          <w:rStyle w:val="FootnoteReference"/>
          <w:lang w:val="en-GB"/>
        </w:rPr>
        <w:footnoteReference w:id="33"/>
      </w:r>
      <w:r>
        <w:rPr>
          <w:lang w:val="en-GB"/>
        </w:rPr>
        <w:t xml:space="preserve"> This will only be compounded by creating a barrier to active modes of transport like cycling and </w:t>
      </w:r>
      <w:r w:rsidR="00200A01">
        <w:rPr>
          <w:lang w:val="en-GB"/>
        </w:rPr>
        <w:t>EPAC</w:t>
      </w:r>
      <w:r>
        <w:rPr>
          <w:lang w:val="en-GB"/>
        </w:rPr>
        <w:t xml:space="preserve"> use. Shifting from motorised vehicles to bicycles and </w:t>
      </w:r>
      <w:r w:rsidR="00200A01">
        <w:rPr>
          <w:lang w:val="en-GB"/>
        </w:rPr>
        <w:t>EPAC</w:t>
      </w:r>
      <w:r>
        <w:rPr>
          <w:lang w:val="en-GB"/>
        </w:rPr>
        <w:t>s will lead to a reduction in thir</w:t>
      </w:r>
      <w:r w:rsidR="001A4714">
        <w:rPr>
          <w:lang w:val="en-GB"/>
        </w:rPr>
        <w:t xml:space="preserve">d party injuries and fatalities. </w:t>
      </w:r>
      <w:r>
        <w:rPr>
          <w:lang w:val="en-GB"/>
        </w:rPr>
        <w:t xml:space="preserve">Any intervention (road safety or otherwise) that reduces the numbers of cyclist or EPAC use will </w:t>
      </w:r>
      <w:r w:rsidR="00257F2B">
        <w:rPr>
          <w:lang w:val="en-GB"/>
        </w:rPr>
        <w:t xml:space="preserve">almost </w:t>
      </w:r>
      <w:r>
        <w:rPr>
          <w:lang w:val="en-GB"/>
        </w:rPr>
        <w:t>always have a public health disbenefit due to the huge health benefits associated with everyday active travel</w:t>
      </w:r>
      <w:r w:rsidR="00257F2B">
        <w:rPr>
          <w:rStyle w:val="FootnoteReference"/>
          <w:lang w:val="en-GB"/>
        </w:rPr>
        <w:footnoteReference w:id="34"/>
      </w:r>
      <w:r>
        <w:rPr>
          <w:lang w:val="en-GB"/>
        </w:rPr>
        <w:t xml:space="preserve">. </w:t>
      </w:r>
    </w:p>
    <w:p w:rsidR="00237BB2" w:rsidRDefault="00237BB2" w:rsidP="00237BB2">
      <w:pPr>
        <w:pStyle w:val="Paragraphtext"/>
        <w:rPr>
          <w:lang w:val="en-GB"/>
        </w:rPr>
      </w:pPr>
    </w:p>
    <w:p w:rsidR="00237BB2" w:rsidRDefault="00237BB2" w:rsidP="00237BB2">
      <w:pPr>
        <w:pStyle w:val="Paragraphtext"/>
        <w:rPr>
          <w:lang w:val="en-GB"/>
        </w:rPr>
      </w:pPr>
      <w:r>
        <w:rPr>
          <w:lang w:val="en-GB"/>
        </w:rPr>
        <w:t xml:space="preserve">Injury </w:t>
      </w:r>
      <w:r w:rsidRPr="00E342BB">
        <w:rPr>
          <w:lang w:val="en-GB"/>
        </w:rPr>
        <w:t>is</w:t>
      </w:r>
      <w:r>
        <w:rPr>
          <w:lang w:val="en-GB"/>
        </w:rPr>
        <w:t xml:space="preserve"> broadly related to the amount of </w:t>
      </w:r>
      <w:r w:rsidRPr="00E342BB">
        <w:rPr>
          <w:lang w:val="en-GB"/>
        </w:rPr>
        <w:t>kinetic energy applied to the human frame</w:t>
      </w:r>
      <w:r>
        <w:rPr>
          <w:lang w:val="en-GB"/>
        </w:rPr>
        <w:t xml:space="preserve">, bicycle and </w:t>
      </w:r>
      <w:r w:rsidR="00200A01">
        <w:rPr>
          <w:lang w:val="en-GB"/>
        </w:rPr>
        <w:t>EPAC</w:t>
      </w:r>
      <w:r>
        <w:rPr>
          <w:lang w:val="en-GB"/>
        </w:rPr>
        <w:t>s very rarely achieve this requirement. Motorised vehicles need mandatory insurance regulation because they are responsible for the vast majority of fatalities and serious injuries on our roads. Heavy mass and high speeds and power ensure that crashes often involve serious injury or death for the victims. The vast majority of crashes resulting in fatalities and s</w:t>
      </w:r>
      <w:r w:rsidR="00FD5412">
        <w:rPr>
          <w:lang w:val="en-GB"/>
        </w:rPr>
        <w:t xml:space="preserve">erious injuries involve a motorised </w:t>
      </w:r>
      <w:r>
        <w:rPr>
          <w:lang w:val="en-GB"/>
        </w:rPr>
        <w:t>vehicle</w:t>
      </w:r>
    </w:p>
    <w:p w:rsidR="00237BB2" w:rsidRDefault="00237BB2" w:rsidP="00237BB2">
      <w:pPr>
        <w:pStyle w:val="Paragraphtext"/>
        <w:rPr>
          <w:lang w:val="en-GB"/>
        </w:rPr>
      </w:pPr>
    </w:p>
    <w:p w:rsidR="004873DF" w:rsidRDefault="004873DF" w:rsidP="004873DF">
      <w:pPr>
        <w:pStyle w:val="Paragraphtext"/>
        <w:rPr>
          <w:lang w:val="en-GB"/>
        </w:rPr>
      </w:pPr>
      <w:r>
        <w:rPr>
          <w:lang w:val="en-GB"/>
        </w:rPr>
        <w:t xml:space="preserve">There are no EU wide data on </w:t>
      </w:r>
      <w:r w:rsidR="00200A01">
        <w:rPr>
          <w:lang w:val="en-GB"/>
        </w:rPr>
        <w:t>EPAC</w:t>
      </w:r>
      <w:r>
        <w:rPr>
          <w:lang w:val="en-GB"/>
        </w:rPr>
        <w:t xml:space="preserve"> crashes, personal damage and causal relationships. However </w:t>
      </w:r>
      <w:r w:rsidR="00200A01">
        <w:rPr>
          <w:lang w:val="en-GB"/>
        </w:rPr>
        <w:t>EPAC</w:t>
      </w:r>
      <w:r>
        <w:rPr>
          <w:lang w:val="en-GB"/>
        </w:rPr>
        <w:t xml:space="preserve"> rider crashes </w:t>
      </w:r>
      <w:r w:rsidR="00A87703">
        <w:rPr>
          <w:lang w:val="en-GB"/>
        </w:rPr>
        <w:t>fatality figures</w:t>
      </w:r>
      <w:r>
        <w:rPr>
          <w:lang w:val="en-GB"/>
        </w:rPr>
        <w:t xml:space="preserve"> themselves can provide us with an idea of how </w:t>
      </w:r>
      <w:r w:rsidR="00A87703">
        <w:rPr>
          <w:lang w:val="en-GB"/>
        </w:rPr>
        <w:t>risky</w:t>
      </w:r>
      <w:r>
        <w:rPr>
          <w:lang w:val="en-GB"/>
        </w:rPr>
        <w:t xml:space="preserve"> </w:t>
      </w:r>
      <w:r w:rsidR="00200A01">
        <w:rPr>
          <w:lang w:val="en-GB"/>
        </w:rPr>
        <w:t>EPAC</w:t>
      </w:r>
      <w:r>
        <w:rPr>
          <w:lang w:val="en-GB"/>
        </w:rPr>
        <w:t>s when compared with other modes, such as non-assisted regular bicycles. According to SWOV</w:t>
      </w:r>
      <w:r>
        <w:rPr>
          <w:rStyle w:val="FootnoteReference"/>
          <w:lang w:val="en-GB"/>
        </w:rPr>
        <w:footnoteReference w:id="35"/>
      </w:r>
      <w:r>
        <w:rPr>
          <w:lang w:val="en-GB"/>
        </w:rPr>
        <w:t>;</w:t>
      </w:r>
    </w:p>
    <w:p w:rsidR="004873DF" w:rsidRDefault="004873DF" w:rsidP="004873DF">
      <w:pPr>
        <w:pStyle w:val="Paragraphtext"/>
        <w:rPr>
          <w:lang w:val="en-GB"/>
        </w:rPr>
      </w:pPr>
    </w:p>
    <w:p w:rsidR="004873DF" w:rsidRDefault="004873DF" w:rsidP="004873DF">
      <w:pPr>
        <w:pStyle w:val="Paragraphtext"/>
        <w:ind w:left="851" w:right="1184"/>
        <w:rPr>
          <w:lang w:val="en-GB"/>
        </w:rPr>
      </w:pPr>
      <w:r>
        <w:rPr>
          <w:lang w:val="en-GB"/>
        </w:rPr>
        <w:t>“</w:t>
      </w:r>
      <w:r w:rsidRPr="007B5680">
        <w:rPr>
          <w:lang w:val="en-GB"/>
        </w:rPr>
        <w:t xml:space="preserve">According to police registration, in 2014 there were 15 fatalities among cyclists on </w:t>
      </w:r>
      <w:r w:rsidR="009D4ABE" w:rsidRPr="007B5680">
        <w:rPr>
          <w:lang w:val="en-GB"/>
        </w:rPr>
        <w:t>an</w:t>
      </w:r>
      <w:r w:rsidRPr="007B5680">
        <w:rPr>
          <w:lang w:val="en-GB"/>
        </w:rPr>
        <w:t xml:space="preserve"> </w:t>
      </w:r>
      <w:r w:rsidR="00200A01">
        <w:rPr>
          <w:lang w:val="en-GB"/>
        </w:rPr>
        <w:t>EPAC</w:t>
      </w:r>
      <w:r w:rsidRPr="007B5680">
        <w:rPr>
          <w:lang w:val="en-GB"/>
        </w:rPr>
        <w:t xml:space="preserve"> or speed-</w:t>
      </w:r>
      <w:r w:rsidR="00200A01">
        <w:rPr>
          <w:lang w:val="en-GB"/>
        </w:rPr>
        <w:t>EPAC</w:t>
      </w:r>
      <w:r w:rsidRPr="007B5680">
        <w:rPr>
          <w:lang w:val="en-GB"/>
        </w:rPr>
        <w:t xml:space="preserve">, and 118 fatalities among cyclists on a regular, non-powered bicycle. Statistics Netherlands data indicates that in 2014 12% of the total bicycle distance was travelled on a </w:t>
      </w:r>
      <w:r w:rsidR="00200A01">
        <w:rPr>
          <w:lang w:val="en-GB"/>
        </w:rPr>
        <w:t>EPAC</w:t>
      </w:r>
      <w:r w:rsidRPr="007B5680">
        <w:rPr>
          <w:lang w:val="en-GB"/>
        </w:rPr>
        <w:t xml:space="preserve">. At an equal crash rate we would have expected 16 fatalities among </w:t>
      </w:r>
      <w:r w:rsidR="00200A01">
        <w:rPr>
          <w:lang w:val="en-GB"/>
        </w:rPr>
        <w:t>EPAC</w:t>
      </w:r>
      <w:r w:rsidRPr="007B5680">
        <w:rPr>
          <w:lang w:val="en-GB"/>
        </w:rPr>
        <w:t xml:space="preserve"> riders in 2014; the number was 15. Proportionately, therefore, in 2014 the number of fatalities among </w:t>
      </w:r>
      <w:r w:rsidR="00200A01">
        <w:rPr>
          <w:lang w:val="en-GB"/>
        </w:rPr>
        <w:t>EPAC</w:t>
      </w:r>
      <w:r w:rsidRPr="007B5680">
        <w:rPr>
          <w:lang w:val="en-GB"/>
        </w:rPr>
        <w:t xml:space="preserve"> riders was not higher than the number of fatalities on regular bicycles</w:t>
      </w:r>
      <w:r>
        <w:rPr>
          <w:lang w:val="en-GB"/>
        </w:rPr>
        <w:t>.”</w:t>
      </w:r>
    </w:p>
    <w:p w:rsidR="004873DF" w:rsidRDefault="004873DF" w:rsidP="004873DF">
      <w:pPr>
        <w:pStyle w:val="Paragraphtext"/>
        <w:rPr>
          <w:lang w:val="en-GB"/>
        </w:rPr>
      </w:pPr>
    </w:p>
    <w:p w:rsidR="004873DF" w:rsidRDefault="004873DF" w:rsidP="00237BB2">
      <w:pPr>
        <w:pStyle w:val="Paragraphtext"/>
        <w:rPr>
          <w:lang w:val="en-GB"/>
        </w:rPr>
      </w:pPr>
      <w:r>
        <w:rPr>
          <w:lang w:val="en-GB"/>
        </w:rPr>
        <w:t xml:space="preserve">According to Dutch data then </w:t>
      </w:r>
      <w:r w:rsidR="00200A01">
        <w:rPr>
          <w:lang w:val="en-GB"/>
        </w:rPr>
        <w:t>EPAC</w:t>
      </w:r>
      <w:r>
        <w:rPr>
          <w:lang w:val="en-GB"/>
        </w:rPr>
        <w:t>s would not seem to be an overly dangerous vehicle in and of themselves</w:t>
      </w:r>
      <w:r>
        <w:rPr>
          <w:rStyle w:val="FootnoteReference"/>
          <w:lang w:val="en-GB"/>
        </w:rPr>
        <w:footnoteReference w:id="36"/>
      </w:r>
      <w:r w:rsidR="001A4714">
        <w:rPr>
          <w:lang w:val="en-GB"/>
        </w:rPr>
        <w:t xml:space="preserve"> (remember this data is not for third party crashes though)</w:t>
      </w:r>
      <w:r w:rsidR="004B1F9D">
        <w:rPr>
          <w:lang w:val="en-GB"/>
        </w:rPr>
        <w:t xml:space="preserve">. Moving to Germany and risks of </w:t>
      </w:r>
      <w:r w:rsidR="00200A01">
        <w:rPr>
          <w:lang w:val="en-GB"/>
        </w:rPr>
        <w:t>EPAC</w:t>
      </w:r>
      <w:r w:rsidR="004B1F9D">
        <w:rPr>
          <w:lang w:val="en-GB"/>
        </w:rPr>
        <w:t xml:space="preserve"> riders to themselves t</w:t>
      </w:r>
      <w:r w:rsidRPr="007B5680">
        <w:rPr>
          <w:lang w:val="en-GB"/>
        </w:rPr>
        <w:t xml:space="preserve">he UDV (German Insurers Accident Research </w:t>
      </w:r>
      <w:r>
        <w:rPr>
          <w:lang w:val="en-GB"/>
        </w:rPr>
        <w:t>compiled</w:t>
      </w:r>
      <w:r w:rsidRPr="007B5680">
        <w:rPr>
          <w:lang w:val="en-GB"/>
        </w:rPr>
        <w:t xml:space="preserve"> research on the dangers and risks of </w:t>
      </w:r>
      <w:r w:rsidR="00200A01">
        <w:rPr>
          <w:lang w:val="en-GB"/>
        </w:rPr>
        <w:t>EPAC</w:t>
      </w:r>
      <w:r>
        <w:rPr>
          <w:lang w:val="en-GB"/>
        </w:rPr>
        <w:t>s</w:t>
      </w:r>
      <w:r w:rsidRPr="007B5680">
        <w:rPr>
          <w:lang w:val="en-GB"/>
        </w:rPr>
        <w:t>. They concluded that the risks and dangers with regards to road safety for these vehicles was</w:t>
      </w:r>
      <w:r w:rsidR="004B1F9D">
        <w:rPr>
          <w:lang w:val="en-GB"/>
        </w:rPr>
        <w:t xml:space="preserve"> low and equivalent to bicycles.</w:t>
      </w:r>
      <w:r>
        <w:rPr>
          <w:lang w:val="en-GB"/>
        </w:rPr>
        <w:t xml:space="preserve"> </w:t>
      </w:r>
    </w:p>
    <w:p w:rsidR="004873DF" w:rsidRDefault="004873DF" w:rsidP="00237BB2">
      <w:pPr>
        <w:pStyle w:val="Paragraphtext"/>
        <w:rPr>
          <w:lang w:val="en-GB"/>
        </w:rPr>
      </w:pPr>
    </w:p>
    <w:p w:rsidR="00DA378F" w:rsidRDefault="001A4714" w:rsidP="00DA378F">
      <w:pPr>
        <w:pStyle w:val="Paragraphtext"/>
        <w:rPr>
          <w:szCs w:val="24"/>
          <w:lang w:val="en-GB"/>
        </w:rPr>
      </w:pPr>
      <w:r>
        <w:rPr>
          <w:lang w:val="en-GB"/>
        </w:rPr>
        <w:t>With regards to third party crash data, t</w:t>
      </w:r>
      <w:r w:rsidR="00DA378F">
        <w:rPr>
          <w:lang w:val="en-GB"/>
        </w:rPr>
        <w:t>here is also d</w:t>
      </w:r>
      <w:r w:rsidR="00FD5412">
        <w:rPr>
          <w:lang w:val="en-GB"/>
        </w:rPr>
        <w:t xml:space="preserve">ata </w:t>
      </w:r>
      <w:r w:rsidR="00DA378F">
        <w:rPr>
          <w:lang w:val="en-GB"/>
        </w:rPr>
        <w:t>from DES</w:t>
      </w:r>
      <w:r w:rsidR="004B1F9D">
        <w:rPr>
          <w:lang w:val="en-GB"/>
        </w:rPr>
        <w:t xml:space="preserve">TATIS </w:t>
      </w:r>
      <w:r w:rsidR="00FD5412">
        <w:rPr>
          <w:lang w:val="en-GB"/>
        </w:rPr>
        <w:t xml:space="preserve">on the impacts of </w:t>
      </w:r>
      <w:r w:rsidR="00200A01">
        <w:rPr>
          <w:lang w:val="en-GB"/>
        </w:rPr>
        <w:t>EPAC</w:t>
      </w:r>
      <w:r w:rsidR="00A87703">
        <w:rPr>
          <w:lang w:val="en-GB"/>
        </w:rPr>
        <w:t xml:space="preserve"> </w:t>
      </w:r>
      <w:r w:rsidR="00DA378F">
        <w:rPr>
          <w:lang w:val="en-GB"/>
        </w:rPr>
        <w:t>and motor vehicle</w:t>
      </w:r>
      <w:r w:rsidR="00FD5412">
        <w:rPr>
          <w:lang w:val="en-GB"/>
        </w:rPr>
        <w:t xml:space="preserve"> crashes on pedestrian </w:t>
      </w:r>
      <w:r w:rsidR="00B46194">
        <w:rPr>
          <w:lang w:val="en-GB"/>
        </w:rPr>
        <w:t xml:space="preserve">injuries and fatalities. Lacking EU wide data Germany is an excellent </w:t>
      </w:r>
      <w:r w:rsidR="00A87703">
        <w:rPr>
          <w:lang w:val="en-GB"/>
        </w:rPr>
        <w:t xml:space="preserve">substitute </w:t>
      </w:r>
      <w:r w:rsidR="00B46194">
        <w:rPr>
          <w:lang w:val="en-GB"/>
        </w:rPr>
        <w:t xml:space="preserve">to see what might happen within the EU over the next 20 years or so. Germany has the highest number of </w:t>
      </w:r>
      <w:r w:rsidR="00200A01">
        <w:rPr>
          <w:lang w:val="en-GB"/>
        </w:rPr>
        <w:t>EPAC</w:t>
      </w:r>
      <w:r w:rsidR="00B46194">
        <w:rPr>
          <w:lang w:val="en-GB"/>
        </w:rPr>
        <w:t>S on the roads, good road safety, and a mix of transport modes.</w:t>
      </w:r>
      <w:r w:rsidR="00DA378F">
        <w:rPr>
          <w:szCs w:val="24"/>
          <w:lang w:val="en-GB"/>
        </w:rPr>
        <w:t xml:space="preserve"> </w:t>
      </w:r>
    </w:p>
    <w:p w:rsidR="00DA378F" w:rsidRDefault="00DA378F" w:rsidP="00DA378F">
      <w:pPr>
        <w:pStyle w:val="Paragraphtext"/>
        <w:rPr>
          <w:szCs w:val="24"/>
          <w:lang w:val="en-GB"/>
        </w:rPr>
      </w:pPr>
    </w:p>
    <w:p w:rsidR="00DA378F" w:rsidRDefault="00DA378F" w:rsidP="00DA378F">
      <w:pPr>
        <w:pStyle w:val="Paragraphtext"/>
        <w:rPr>
          <w:szCs w:val="24"/>
          <w:lang w:val="en-GB"/>
        </w:rPr>
      </w:pPr>
      <w:r>
        <w:rPr>
          <w:szCs w:val="24"/>
          <w:lang w:val="en-GB"/>
        </w:rPr>
        <w:lastRenderedPageBreak/>
        <w:t>The table below</w:t>
      </w:r>
      <w:r>
        <w:rPr>
          <w:rStyle w:val="FootnoteReference"/>
          <w:lang w:val="en-GB"/>
        </w:rPr>
        <w:footnoteReference w:id="37"/>
      </w:r>
      <w:r>
        <w:rPr>
          <w:szCs w:val="24"/>
          <w:lang w:val="en-GB"/>
        </w:rPr>
        <w:t xml:space="preserve"> is as near to a comparison of the different modes of transport that we can calculate. Ideally to calculate the risk between the different modes we would require distance or time travelled data, unfortunately we do not have this for all the modes of transport. We do have an estimate of the number o</w:t>
      </w:r>
      <w:r w:rsidR="001A4714">
        <w:rPr>
          <w:szCs w:val="24"/>
          <w:lang w:val="en-GB"/>
        </w:rPr>
        <w:t>f vehicles available in Germany</w:t>
      </w:r>
      <w:r w:rsidR="001A4714">
        <w:rPr>
          <w:rStyle w:val="FootnoteReference"/>
          <w:szCs w:val="24"/>
          <w:lang w:val="en-GB"/>
        </w:rPr>
        <w:footnoteReference w:id="38"/>
      </w:r>
      <w:r>
        <w:rPr>
          <w:szCs w:val="24"/>
          <w:lang w:val="en-GB"/>
        </w:rPr>
        <w:t xml:space="preserve">. </w:t>
      </w:r>
      <w:r w:rsidR="00B827DE">
        <w:rPr>
          <w:szCs w:val="24"/>
          <w:lang w:val="en-GB"/>
        </w:rPr>
        <w:t>We also have to bear in mind that not all bikes/vehicles will be in use, h</w:t>
      </w:r>
      <w:r>
        <w:rPr>
          <w:szCs w:val="24"/>
          <w:lang w:val="en-GB"/>
        </w:rPr>
        <w:t xml:space="preserve">owever </w:t>
      </w:r>
      <w:r w:rsidR="00B827DE">
        <w:rPr>
          <w:szCs w:val="24"/>
          <w:lang w:val="en-GB"/>
        </w:rPr>
        <w:t xml:space="preserve">with prices of EPACs </w:t>
      </w:r>
      <w:r w:rsidR="00734015">
        <w:rPr>
          <w:szCs w:val="24"/>
          <w:lang w:val="en-GB"/>
        </w:rPr>
        <w:t>start</w:t>
      </w:r>
      <w:r w:rsidR="00B827DE">
        <w:rPr>
          <w:szCs w:val="24"/>
          <w:lang w:val="en-GB"/>
        </w:rPr>
        <w:t>ing</w:t>
      </w:r>
      <w:r>
        <w:rPr>
          <w:szCs w:val="24"/>
          <w:lang w:val="en-GB"/>
        </w:rPr>
        <w:t xml:space="preserve"> at around 1,500 Euros </w:t>
      </w:r>
      <w:r w:rsidR="00734015">
        <w:rPr>
          <w:szCs w:val="24"/>
          <w:lang w:val="en-GB"/>
        </w:rPr>
        <w:t xml:space="preserve">and up to 6,000 Euros </w:t>
      </w:r>
      <w:r>
        <w:rPr>
          <w:szCs w:val="24"/>
          <w:lang w:val="en-GB"/>
        </w:rPr>
        <w:t xml:space="preserve">there is </w:t>
      </w:r>
      <w:r w:rsidR="00B827DE">
        <w:rPr>
          <w:szCs w:val="24"/>
          <w:lang w:val="en-GB"/>
        </w:rPr>
        <w:t>an incentive for continued use. The table also do</w:t>
      </w:r>
      <w:r w:rsidR="001A4714">
        <w:rPr>
          <w:szCs w:val="24"/>
          <w:lang w:val="en-GB"/>
        </w:rPr>
        <w:t>es</w:t>
      </w:r>
      <w:r w:rsidR="00B827DE">
        <w:rPr>
          <w:szCs w:val="24"/>
          <w:lang w:val="en-GB"/>
        </w:rPr>
        <w:t xml:space="preserve"> not include crashes with bicyclists or other EAPC users.</w:t>
      </w:r>
    </w:p>
    <w:p w:rsidR="00B827DE" w:rsidRDefault="00B827DE" w:rsidP="00DA378F">
      <w:pPr>
        <w:pStyle w:val="Paragraphtext"/>
        <w:rPr>
          <w:szCs w:val="24"/>
          <w:lang w:val="en-GB"/>
        </w:rPr>
      </w:pPr>
    </w:p>
    <w:p w:rsidR="00CD30A7" w:rsidRDefault="00CD30A7" w:rsidP="00237BB2">
      <w:pPr>
        <w:pStyle w:val="Paragraphtext"/>
        <w:rPr>
          <w:lang w:val="en-GB"/>
        </w:rPr>
      </w:pPr>
    </w:p>
    <w:tbl>
      <w:tblPr>
        <w:tblStyle w:val="TableGrid"/>
        <w:tblpPr w:leftFromText="180" w:rightFromText="180" w:vertAnchor="text" w:tblpY="1"/>
        <w:tblOverlap w:val="nev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1617"/>
        <w:gridCol w:w="1515"/>
        <w:gridCol w:w="1515"/>
        <w:gridCol w:w="2081"/>
        <w:gridCol w:w="1505"/>
      </w:tblGrid>
      <w:tr w:rsidR="006C25BF" w:rsidRPr="00FE1EDB" w:rsidTr="00CD30A7">
        <w:trPr>
          <w:gridAfter w:val="4"/>
          <w:wAfter w:w="6616" w:type="dxa"/>
          <w:trHeight w:val="540"/>
        </w:trPr>
        <w:tc>
          <w:tcPr>
            <w:tcW w:w="3160" w:type="dxa"/>
            <w:gridSpan w:val="2"/>
            <w:tcBorders>
              <w:top w:val="single" w:sz="4" w:space="0" w:color="auto"/>
              <w:left w:val="single" w:sz="4" w:space="0" w:color="auto"/>
              <w:bottom w:val="single" w:sz="4" w:space="0" w:color="auto"/>
              <w:right w:val="single" w:sz="4" w:space="0" w:color="auto"/>
            </w:tcBorders>
            <w:noWrap/>
            <w:hideMark/>
          </w:tcPr>
          <w:p w:rsidR="006C25BF" w:rsidRPr="00FE1EDB" w:rsidRDefault="006C25BF" w:rsidP="00727607">
            <w:pPr>
              <w:pStyle w:val="Paragraphtext"/>
              <w:rPr>
                <w:szCs w:val="24"/>
              </w:rPr>
            </w:pPr>
            <w:r w:rsidRPr="00FE1EDB">
              <w:rPr>
                <w:szCs w:val="24"/>
              </w:rPr>
              <w:t>Accidents involving two parties</w:t>
            </w:r>
            <w:r w:rsidR="00CD30A7">
              <w:rPr>
                <w:szCs w:val="24"/>
              </w:rPr>
              <w:t xml:space="preserve"> in Germany in 2016</w:t>
            </w:r>
            <w:r w:rsidRPr="00FE1EDB">
              <w:rPr>
                <w:szCs w:val="24"/>
              </w:rPr>
              <w:t>, of which:</w:t>
            </w:r>
          </w:p>
        </w:tc>
      </w:tr>
      <w:tr w:rsidR="00CD30A7" w:rsidRPr="00FE1EDB" w:rsidTr="00CD30A7">
        <w:trPr>
          <w:trHeight w:val="510"/>
        </w:trPr>
        <w:tc>
          <w:tcPr>
            <w:tcW w:w="1543" w:type="dxa"/>
            <w:tcBorders>
              <w:top w:val="single" w:sz="4" w:space="0" w:color="auto"/>
              <w:left w:val="single" w:sz="4" w:space="0" w:color="auto"/>
              <w:bottom w:val="single" w:sz="4" w:space="0" w:color="auto"/>
              <w:right w:val="single" w:sz="4" w:space="0" w:color="auto"/>
            </w:tcBorders>
            <w:noWrap/>
            <w:hideMark/>
          </w:tcPr>
          <w:p w:rsidR="006C25BF" w:rsidRPr="00FE1EDB" w:rsidRDefault="006C25BF" w:rsidP="006C25BF">
            <w:pPr>
              <w:pStyle w:val="Paragraphtext"/>
              <w:rPr>
                <w:b/>
                <w:szCs w:val="24"/>
              </w:rPr>
            </w:pPr>
            <w:r>
              <w:rPr>
                <w:b/>
                <w:szCs w:val="24"/>
              </w:rPr>
              <w:t>Principal party</w:t>
            </w:r>
          </w:p>
        </w:tc>
        <w:tc>
          <w:tcPr>
            <w:tcW w:w="1617" w:type="dxa"/>
            <w:tcBorders>
              <w:top w:val="single" w:sz="4" w:space="0" w:color="auto"/>
              <w:left w:val="single" w:sz="4" w:space="0" w:color="auto"/>
              <w:bottom w:val="single" w:sz="4" w:space="0" w:color="auto"/>
              <w:right w:val="single" w:sz="4" w:space="0" w:color="auto"/>
            </w:tcBorders>
            <w:noWrap/>
            <w:hideMark/>
          </w:tcPr>
          <w:p w:rsidR="006C25BF" w:rsidRPr="00FE1EDB" w:rsidRDefault="006C25BF" w:rsidP="006C25BF">
            <w:pPr>
              <w:pStyle w:val="Paragraphtext"/>
              <w:rPr>
                <w:b/>
                <w:szCs w:val="24"/>
              </w:rPr>
            </w:pPr>
            <w:r>
              <w:rPr>
                <w:b/>
                <w:szCs w:val="24"/>
              </w:rPr>
              <w:t>Other party</w:t>
            </w:r>
          </w:p>
        </w:tc>
        <w:tc>
          <w:tcPr>
            <w:tcW w:w="1515" w:type="dxa"/>
            <w:tcBorders>
              <w:top w:val="single" w:sz="4" w:space="0" w:color="auto"/>
              <w:left w:val="single" w:sz="4" w:space="0" w:color="auto"/>
              <w:bottom w:val="single" w:sz="4" w:space="0" w:color="auto"/>
              <w:right w:val="single" w:sz="4" w:space="0" w:color="auto"/>
            </w:tcBorders>
            <w:noWrap/>
            <w:hideMark/>
          </w:tcPr>
          <w:p w:rsidR="006C25BF" w:rsidRPr="00FE1EDB" w:rsidRDefault="00DA378F" w:rsidP="006C25BF">
            <w:pPr>
              <w:pStyle w:val="Paragraphtext"/>
              <w:rPr>
                <w:b/>
                <w:szCs w:val="24"/>
              </w:rPr>
            </w:pPr>
            <w:r>
              <w:rPr>
                <w:b/>
                <w:szCs w:val="24"/>
              </w:rPr>
              <w:t>Pedestrian</w:t>
            </w:r>
            <w:r w:rsidR="006C25BF">
              <w:rPr>
                <w:b/>
                <w:szCs w:val="24"/>
              </w:rPr>
              <w:t xml:space="preserve"> </w:t>
            </w:r>
            <w:r w:rsidR="006C25BF" w:rsidRPr="00FE1EDB">
              <w:rPr>
                <w:b/>
                <w:szCs w:val="24"/>
              </w:rPr>
              <w:t>Killed</w:t>
            </w:r>
          </w:p>
        </w:tc>
        <w:tc>
          <w:tcPr>
            <w:tcW w:w="1515" w:type="dxa"/>
            <w:tcBorders>
              <w:top w:val="single" w:sz="4" w:space="0" w:color="auto"/>
              <w:left w:val="single" w:sz="4" w:space="0" w:color="auto"/>
              <w:bottom w:val="single" w:sz="4" w:space="0" w:color="auto"/>
              <w:right w:val="single" w:sz="4" w:space="0" w:color="auto"/>
            </w:tcBorders>
            <w:hideMark/>
          </w:tcPr>
          <w:p w:rsidR="006C25BF" w:rsidRPr="00FE1EDB" w:rsidRDefault="00DA378F" w:rsidP="006C25BF">
            <w:pPr>
              <w:pStyle w:val="Paragraphtext"/>
              <w:rPr>
                <w:b/>
                <w:szCs w:val="24"/>
              </w:rPr>
            </w:pPr>
            <w:r>
              <w:rPr>
                <w:b/>
                <w:szCs w:val="24"/>
              </w:rPr>
              <w:t>Pedestrian</w:t>
            </w:r>
            <w:r w:rsidR="006C25BF">
              <w:rPr>
                <w:b/>
                <w:szCs w:val="24"/>
              </w:rPr>
              <w:t xml:space="preserve"> </w:t>
            </w:r>
            <w:r w:rsidR="006C25BF" w:rsidRPr="00FE1EDB">
              <w:rPr>
                <w:b/>
                <w:szCs w:val="24"/>
              </w:rPr>
              <w:t>Seriously Injured</w:t>
            </w:r>
          </w:p>
        </w:tc>
        <w:tc>
          <w:tcPr>
            <w:tcW w:w="2081" w:type="dxa"/>
            <w:tcBorders>
              <w:top w:val="single" w:sz="4" w:space="0" w:color="auto"/>
              <w:left w:val="single" w:sz="4" w:space="0" w:color="auto"/>
              <w:bottom w:val="single" w:sz="4" w:space="0" w:color="auto"/>
              <w:right w:val="single" w:sz="4" w:space="0" w:color="auto"/>
            </w:tcBorders>
            <w:hideMark/>
          </w:tcPr>
          <w:p w:rsidR="006C25BF" w:rsidRPr="00FE1EDB" w:rsidRDefault="006C25BF" w:rsidP="00CD30A7">
            <w:pPr>
              <w:pStyle w:val="Paragraphtext"/>
              <w:jc w:val="left"/>
              <w:rPr>
                <w:b/>
                <w:szCs w:val="24"/>
              </w:rPr>
            </w:pPr>
            <w:r>
              <w:rPr>
                <w:b/>
                <w:szCs w:val="24"/>
              </w:rPr>
              <w:t xml:space="preserve">Estimated vehicle </w:t>
            </w:r>
            <w:r w:rsidR="00CD30A7">
              <w:rPr>
                <w:b/>
                <w:szCs w:val="24"/>
              </w:rPr>
              <w:t>population</w:t>
            </w:r>
          </w:p>
        </w:tc>
        <w:tc>
          <w:tcPr>
            <w:tcW w:w="1505" w:type="dxa"/>
            <w:tcBorders>
              <w:top w:val="single" w:sz="4" w:space="0" w:color="auto"/>
              <w:bottom w:val="single" w:sz="4" w:space="0" w:color="auto"/>
              <w:right w:val="single" w:sz="4" w:space="0" w:color="auto"/>
            </w:tcBorders>
          </w:tcPr>
          <w:p w:rsidR="006C25BF" w:rsidRPr="00CD30A7" w:rsidRDefault="00CD30A7" w:rsidP="00734015">
            <w:pPr>
              <w:pStyle w:val="Paragraphtext"/>
              <w:jc w:val="left"/>
              <w:rPr>
                <w:b/>
                <w:color w:val="FF0000"/>
                <w:szCs w:val="24"/>
              </w:rPr>
            </w:pPr>
            <w:r w:rsidRPr="00CD30A7">
              <w:rPr>
                <w:b/>
                <w:color w:val="FF0000"/>
                <w:szCs w:val="24"/>
              </w:rPr>
              <w:t>Pedestrian</w:t>
            </w:r>
            <w:r w:rsidR="006C25BF" w:rsidRPr="00CD30A7">
              <w:rPr>
                <w:b/>
                <w:color w:val="FF0000"/>
                <w:szCs w:val="24"/>
              </w:rPr>
              <w:t xml:space="preserve"> </w:t>
            </w:r>
            <w:r w:rsidR="00734015">
              <w:rPr>
                <w:b/>
                <w:color w:val="FF0000"/>
                <w:szCs w:val="24"/>
              </w:rPr>
              <w:t>liability r</w:t>
            </w:r>
            <w:r w:rsidR="006C25BF" w:rsidRPr="00CD30A7">
              <w:rPr>
                <w:b/>
                <w:color w:val="FF0000"/>
                <w:szCs w:val="24"/>
              </w:rPr>
              <w:t>isk per vehicle</w:t>
            </w:r>
          </w:p>
        </w:tc>
      </w:tr>
      <w:tr w:rsidR="00CD30A7" w:rsidRPr="00B22979" w:rsidTr="00CD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3" w:type="dxa"/>
            <w:tcBorders>
              <w:left w:val="single" w:sz="4" w:space="0" w:color="auto"/>
            </w:tcBorders>
            <w:noWrap/>
          </w:tcPr>
          <w:p w:rsidR="006C25BF" w:rsidRPr="00B22979" w:rsidRDefault="00200A01" w:rsidP="006C25BF">
            <w:pPr>
              <w:pStyle w:val="Paragraphtext"/>
              <w:rPr>
                <w:szCs w:val="24"/>
              </w:rPr>
            </w:pPr>
            <w:r>
              <w:rPr>
                <w:szCs w:val="24"/>
              </w:rPr>
              <w:t>EPAC</w:t>
            </w:r>
          </w:p>
        </w:tc>
        <w:tc>
          <w:tcPr>
            <w:tcW w:w="1617" w:type="dxa"/>
            <w:noWrap/>
          </w:tcPr>
          <w:p w:rsidR="006C25BF" w:rsidRPr="00B22979" w:rsidRDefault="006C25BF" w:rsidP="006C25BF">
            <w:pPr>
              <w:pStyle w:val="Paragraphtext"/>
              <w:rPr>
                <w:szCs w:val="24"/>
              </w:rPr>
            </w:pPr>
            <w:r>
              <w:rPr>
                <w:szCs w:val="24"/>
              </w:rPr>
              <w:t>Pedestrian</w:t>
            </w:r>
          </w:p>
        </w:tc>
        <w:tc>
          <w:tcPr>
            <w:tcW w:w="1515" w:type="dxa"/>
            <w:noWrap/>
          </w:tcPr>
          <w:p w:rsidR="006C25BF" w:rsidRPr="00B22979" w:rsidRDefault="006C25BF" w:rsidP="006C25BF">
            <w:pPr>
              <w:pStyle w:val="Paragraphtext"/>
              <w:rPr>
                <w:szCs w:val="24"/>
              </w:rPr>
            </w:pPr>
            <w:r>
              <w:rPr>
                <w:szCs w:val="24"/>
              </w:rPr>
              <w:t>0</w:t>
            </w:r>
          </w:p>
        </w:tc>
        <w:tc>
          <w:tcPr>
            <w:tcW w:w="1515" w:type="dxa"/>
            <w:noWrap/>
          </w:tcPr>
          <w:p w:rsidR="006C25BF" w:rsidRPr="00B22979" w:rsidRDefault="001744C9" w:rsidP="006C25BF">
            <w:pPr>
              <w:pStyle w:val="Paragraphtext"/>
              <w:rPr>
                <w:szCs w:val="24"/>
              </w:rPr>
            </w:pPr>
            <w:r>
              <w:rPr>
                <w:szCs w:val="24"/>
              </w:rPr>
              <w:t>6</w:t>
            </w:r>
          </w:p>
        </w:tc>
        <w:tc>
          <w:tcPr>
            <w:tcW w:w="2081" w:type="dxa"/>
            <w:tcBorders>
              <w:right w:val="single" w:sz="4" w:space="0" w:color="auto"/>
            </w:tcBorders>
            <w:noWrap/>
          </w:tcPr>
          <w:p w:rsidR="006C25BF" w:rsidRPr="00B22979" w:rsidRDefault="006C25BF" w:rsidP="006C25BF">
            <w:pPr>
              <w:pStyle w:val="Paragraphtext"/>
              <w:rPr>
                <w:szCs w:val="24"/>
              </w:rPr>
            </w:pPr>
            <w:r>
              <w:rPr>
                <w:szCs w:val="24"/>
              </w:rPr>
              <w:t>3,000,000</w:t>
            </w:r>
          </w:p>
        </w:tc>
        <w:tc>
          <w:tcPr>
            <w:tcW w:w="1505" w:type="dxa"/>
          </w:tcPr>
          <w:p w:rsidR="006C25BF" w:rsidRPr="00CD30A7" w:rsidRDefault="001744C9" w:rsidP="001744C9">
            <w:pPr>
              <w:pStyle w:val="Paragraphtext"/>
              <w:rPr>
                <w:color w:val="FF0000"/>
                <w:szCs w:val="24"/>
              </w:rPr>
            </w:pPr>
            <w:r>
              <w:rPr>
                <w:color w:val="FF0000"/>
                <w:szCs w:val="24"/>
              </w:rPr>
              <w:t>1/500,000</w:t>
            </w:r>
          </w:p>
        </w:tc>
      </w:tr>
      <w:tr w:rsidR="00CD30A7" w:rsidRPr="00B22979" w:rsidTr="00CD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3" w:type="dxa"/>
            <w:tcBorders>
              <w:left w:val="single" w:sz="4" w:space="0" w:color="auto"/>
            </w:tcBorders>
            <w:noWrap/>
          </w:tcPr>
          <w:p w:rsidR="006C25BF" w:rsidRPr="00B22979" w:rsidRDefault="006C25BF" w:rsidP="006C25BF">
            <w:pPr>
              <w:pStyle w:val="Paragraphtext"/>
              <w:rPr>
                <w:szCs w:val="24"/>
              </w:rPr>
            </w:pPr>
            <w:r>
              <w:rPr>
                <w:szCs w:val="24"/>
              </w:rPr>
              <w:t>Motor Vehicle</w:t>
            </w:r>
          </w:p>
        </w:tc>
        <w:tc>
          <w:tcPr>
            <w:tcW w:w="1617" w:type="dxa"/>
            <w:noWrap/>
          </w:tcPr>
          <w:p w:rsidR="006C25BF" w:rsidRPr="00B22979" w:rsidRDefault="006C25BF" w:rsidP="006C25BF">
            <w:pPr>
              <w:pStyle w:val="Paragraphtext"/>
              <w:rPr>
                <w:szCs w:val="24"/>
              </w:rPr>
            </w:pPr>
            <w:r>
              <w:rPr>
                <w:szCs w:val="24"/>
              </w:rPr>
              <w:t>Pedestrian</w:t>
            </w:r>
          </w:p>
        </w:tc>
        <w:tc>
          <w:tcPr>
            <w:tcW w:w="1515" w:type="dxa"/>
            <w:noWrap/>
          </w:tcPr>
          <w:p w:rsidR="006C25BF" w:rsidRPr="00B22979" w:rsidRDefault="006C25BF" w:rsidP="006C25BF">
            <w:pPr>
              <w:pStyle w:val="Paragraphtext"/>
              <w:rPr>
                <w:szCs w:val="24"/>
              </w:rPr>
            </w:pPr>
            <w:r>
              <w:rPr>
                <w:szCs w:val="24"/>
              </w:rPr>
              <w:t>483</w:t>
            </w:r>
          </w:p>
        </w:tc>
        <w:tc>
          <w:tcPr>
            <w:tcW w:w="1515" w:type="dxa"/>
            <w:noWrap/>
          </w:tcPr>
          <w:p w:rsidR="006C25BF" w:rsidRPr="00B22979" w:rsidRDefault="006C25BF" w:rsidP="006C25BF">
            <w:pPr>
              <w:pStyle w:val="Paragraphtext"/>
              <w:rPr>
                <w:szCs w:val="24"/>
              </w:rPr>
            </w:pPr>
            <w:r>
              <w:rPr>
                <w:szCs w:val="24"/>
              </w:rPr>
              <w:t>7163</w:t>
            </w:r>
          </w:p>
        </w:tc>
        <w:tc>
          <w:tcPr>
            <w:tcW w:w="2081" w:type="dxa"/>
            <w:tcBorders>
              <w:right w:val="single" w:sz="4" w:space="0" w:color="auto"/>
            </w:tcBorders>
            <w:noWrap/>
          </w:tcPr>
          <w:p w:rsidR="006C25BF" w:rsidRPr="00B22979" w:rsidRDefault="006C25BF" w:rsidP="006C25BF">
            <w:pPr>
              <w:pStyle w:val="Paragraphtext"/>
              <w:rPr>
                <w:szCs w:val="24"/>
              </w:rPr>
            </w:pPr>
            <w:r>
              <w:rPr>
                <w:szCs w:val="24"/>
              </w:rPr>
              <w:t>44,000,000</w:t>
            </w:r>
          </w:p>
        </w:tc>
        <w:tc>
          <w:tcPr>
            <w:tcW w:w="1505" w:type="dxa"/>
          </w:tcPr>
          <w:p w:rsidR="006C25BF" w:rsidRPr="00CD30A7" w:rsidRDefault="006C25BF" w:rsidP="006C25BF">
            <w:pPr>
              <w:pStyle w:val="Paragraphtext"/>
              <w:rPr>
                <w:color w:val="FF0000"/>
                <w:szCs w:val="24"/>
              </w:rPr>
            </w:pPr>
            <w:r w:rsidRPr="00CD30A7">
              <w:rPr>
                <w:color w:val="FF0000"/>
                <w:szCs w:val="24"/>
              </w:rPr>
              <w:t>1/5</w:t>
            </w:r>
            <w:r w:rsidR="001744C9">
              <w:rPr>
                <w:color w:val="FF0000"/>
                <w:szCs w:val="24"/>
              </w:rPr>
              <w:t>,</w:t>
            </w:r>
            <w:r w:rsidRPr="00CD30A7">
              <w:rPr>
                <w:color w:val="FF0000"/>
                <w:szCs w:val="24"/>
              </w:rPr>
              <w:t>754</w:t>
            </w:r>
          </w:p>
        </w:tc>
      </w:tr>
    </w:tbl>
    <w:p w:rsidR="001744C9" w:rsidRDefault="00727607" w:rsidP="00237BB2">
      <w:pPr>
        <w:pStyle w:val="Paragraphtext"/>
        <w:rPr>
          <w:szCs w:val="24"/>
          <w:lang w:val="en-GB"/>
        </w:rPr>
      </w:pPr>
      <w:r>
        <w:rPr>
          <w:szCs w:val="24"/>
          <w:lang w:val="en-GB"/>
        </w:rPr>
        <w:br w:type="textWrapping" w:clear="all"/>
      </w:r>
      <w:r w:rsidR="00DA378F">
        <w:rPr>
          <w:szCs w:val="24"/>
          <w:lang w:val="en-GB"/>
        </w:rPr>
        <w:t xml:space="preserve">The results from this </w:t>
      </w:r>
      <w:r w:rsidR="00A87703">
        <w:rPr>
          <w:szCs w:val="24"/>
          <w:lang w:val="en-GB"/>
        </w:rPr>
        <w:t>non-rigorous</w:t>
      </w:r>
      <w:r w:rsidR="00DA378F">
        <w:rPr>
          <w:szCs w:val="24"/>
          <w:lang w:val="en-GB"/>
        </w:rPr>
        <w:t>, but still useful calculation, is that a m</w:t>
      </w:r>
      <w:r w:rsidR="006C25BF">
        <w:rPr>
          <w:szCs w:val="24"/>
          <w:lang w:val="en-GB"/>
        </w:rPr>
        <w:t xml:space="preserve">otor vehicle </w:t>
      </w:r>
      <w:r w:rsidR="00DA378F">
        <w:rPr>
          <w:szCs w:val="24"/>
          <w:lang w:val="en-GB"/>
        </w:rPr>
        <w:t xml:space="preserve">is </w:t>
      </w:r>
      <w:r w:rsidR="001744C9">
        <w:rPr>
          <w:szCs w:val="24"/>
          <w:lang w:val="en-GB"/>
        </w:rPr>
        <w:t>87</w:t>
      </w:r>
      <w:r w:rsidR="006C25BF">
        <w:rPr>
          <w:szCs w:val="24"/>
          <w:lang w:val="en-GB"/>
        </w:rPr>
        <w:t xml:space="preserve"> </w:t>
      </w:r>
      <w:r w:rsidR="00DA378F">
        <w:rPr>
          <w:szCs w:val="24"/>
          <w:lang w:val="en-GB"/>
        </w:rPr>
        <w:t>times “</w:t>
      </w:r>
      <w:r w:rsidR="006C25BF">
        <w:rPr>
          <w:szCs w:val="24"/>
          <w:lang w:val="en-GB"/>
        </w:rPr>
        <w:t xml:space="preserve">riskier” than an </w:t>
      </w:r>
      <w:r w:rsidR="00200A01">
        <w:rPr>
          <w:szCs w:val="24"/>
          <w:lang w:val="en-GB"/>
        </w:rPr>
        <w:t>EPAC</w:t>
      </w:r>
      <w:r w:rsidR="00DA378F">
        <w:rPr>
          <w:szCs w:val="24"/>
          <w:lang w:val="en-GB"/>
        </w:rPr>
        <w:t xml:space="preserve"> to illicit</w:t>
      </w:r>
      <w:r w:rsidR="001744C9">
        <w:rPr>
          <w:szCs w:val="24"/>
          <w:lang w:val="en-GB"/>
        </w:rPr>
        <w:t xml:space="preserve"> serious damage payments from </w:t>
      </w:r>
      <w:r w:rsidR="00DA378F">
        <w:rPr>
          <w:szCs w:val="24"/>
          <w:lang w:val="en-GB"/>
        </w:rPr>
        <w:t>a pedestrian</w:t>
      </w:r>
      <w:r w:rsidR="001744C9">
        <w:rPr>
          <w:szCs w:val="24"/>
          <w:lang w:val="en-GB"/>
        </w:rPr>
        <w:t xml:space="preserve">. </w:t>
      </w:r>
    </w:p>
    <w:p w:rsidR="001744C9" w:rsidRDefault="001744C9" w:rsidP="00237BB2">
      <w:pPr>
        <w:pStyle w:val="Paragraphtext"/>
        <w:rPr>
          <w:lang w:val="en-GB"/>
        </w:rPr>
      </w:pPr>
    </w:p>
    <w:p w:rsidR="00DC741A" w:rsidRDefault="001A4714" w:rsidP="00DC741A">
      <w:pPr>
        <w:pStyle w:val="Paragraphtext"/>
        <w:rPr>
          <w:lang w:val="en-GB"/>
        </w:rPr>
      </w:pPr>
      <w:r>
        <w:rPr>
          <w:lang w:val="en-GB"/>
        </w:rPr>
        <w:t>Finally, i</w:t>
      </w:r>
      <w:r w:rsidR="00387DCC">
        <w:rPr>
          <w:lang w:val="en-GB"/>
        </w:rPr>
        <w:t xml:space="preserve">f there were to be a compulsory administrative burden on </w:t>
      </w:r>
      <w:r w:rsidR="00200A01">
        <w:rPr>
          <w:lang w:val="en-GB"/>
        </w:rPr>
        <w:t>EPAC</w:t>
      </w:r>
      <w:r w:rsidR="00387DCC">
        <w:rPr>
          <w:lang w:val="en-GB"/>
        </w:rPr>
        <w:t xml:space="preserve"> users and a reduction in the number of riders of </w:t>
      </w:r>
      <w:r w:rsidR="00200A01">
        <w:rPr>
          <w:lang w:val="en-GB"/>
        </w:rPr>
        <w:t>EPAC</w:t>
      </w:r>
      <w:r w:rsidR="00387DCC">
        <w:rPr>
          <w:lang w:val="en-GB"/>
        </w:rPr>
        <w:t xml:space="preserve">s (or bicycles) there is evidence that this could </w:t>
      </w:r>
      <w:r w:rsidR="00734015">
        <w:rPr>
          <w:lang w:val="en-GB"/>
        </w:rPr>
        <w:t xml:space="preserve">even </w:t>
      </w:r>
      <w:r w:rsidR="00387DCC">
        <w:rPr>
          <w:lang w:val="en-GB"/>
        </w:rPr>
        <w:t>lead to an increased risk for tho</w:t>
      </w:r>
      <w:r w:rsidR="00734015">
        <w:rPr>
          <w:lang w:val="en-GB"/>
        </w:rPr>
        <w:t>se riders remaining. There is a well-known</w:t>
      </w:r>
      <w:r w:rsidR="00387DCC">
        <w:rPr>
          <w:lang w:val="en-GB"/>
        </w:rPr>
        <w:t xml:space="preserve"> inverse relationship between cycling risk for each individual rider and the numbers of cyclists in general on the road</w:t>
      </w:r>
      <w:r w:rsidR="00387DCC">
        <w:rPr>
          <w:rStyle w:val="FootnoteReference"/>
          <w:lang w:val="en-GB"/>
        </w:rPr>
        <w:footnoteReference w:id="39"/>
      </w:r>
      <w:r w:rsidR="00387DCC">
        <w:rPr>
          <w:lang w:val="en-GB"/>
        </w:rPr>
        <w:t xml:space="preserve">. This ‘Safety in Numbers’ </w:t>
      </w:r>
      <w:r w:rsidR="0062186F">
        <w:rPr>
          <w:lang w:val="en-GB"/>
        </w:rPr>
        <w:t>phenomenon is a well-documented phenomenon</w:t>
      </w:r>
      <w:r w:rsidR="0062186F">
        <w:rPr>
          <w:rStyle w:val="FootnoteReference"/>
          <w:lang w:val="en-GB"/>
        </w:rPr>
        <w:footnoteReference w:id="40"/>
      </w:r>
      <w:r w:rsidR="0062186F">
        <w:rPr>
          <w:lang w:val="en-GB"/>
        </w:rPr>
        <w:t>, a</w:t>
      </w:r>
      <w:r w:rsidR="00DC741A">
        <w:rPr>
          <w:lang w:val="en-GB"/>
        </w:rPr>
        <w:t>n increase in cycling numbers will mean a decrease in the r</w:t>
      </w:r>
      <w:r w:rsidR="00734015">
        <w:rPr>
          <w:lang w:val="en-GB"/>
        </w:rPr>
        <w:t>isk to each individual cyclist. I</w:t>
      </w:r>
      <w:r w:rsidR="0062186F">
        <w:rPr>
          <w:lang w:val="en-GB"/>
        </w:rPr>
        <w:t xml:space="preserve">f there is a reduction in the number of </w:t>
      </w:r>
      <w:r w:rsidR="00200A01">
        <w:rPr>
          <w:lang w:val="en-GB"/>
        </w:rPr>
        <w:t>EPAC</w:t>
      </w:r>
      <w:r w:rsidR="0062186F">
        <w:rPr>
          <w:lang w:val="en-GB"/>
        </w:rPr>
        <w:t xml:space="preserve"> users (or bicycle riders) it can be expected that there may be an increase in the risk to each remaining rider</w:t>
      </w:r>
      <w:r w:rsidR="00734015">
        <w:rPr>
          <w:lang w:val="en-GB"/>
        </w:rPr>
        <w:t xml:space="preserve"> (either cyclist or EPAC</w:t>
      </w:r>
      <w:r w:rsidR="0062186F">
        <w:rPr>
          <w:lang w:val="en-GB"/>
        </w:rPr>
        <w:t>. This would lead to an increase in the insurance costs to the consumer as well as an increase in the possibility of being involved in a crash.</w:t>
      </w:r>
    </w:p>
    <w:p w:rsidR="00D00100" w:rsidRPr="007B5680" w:rsidRDefault="00D00100" w:rsidP="00237BB2">
      <w:pPr>
        <w:pStyle w:val="Paragraphtext"/>
        <w:rPr>
          <w:lang w:val="en-GB"/>
        </w:rPr>
      </w:pPr>
    </w:p>
    <w:p w:rsidR="00381E42" w:rsidRPr="00237BB2" w:rsidRDefault="00237BB2" w:rsidP="00167219">
      <w:pPr>
        <w:pStyle w:val="ECFboldtext"/>
        <w:numPr>
          <w:ilvl w:val="0"/>
          <w:numId w:val="13"/>
        </w:numPr>
      </w:pPr>
      <w:r w:rsidRPr="00237BB2">
        <w:t xml:space="preserve">Inclusion </w:t>
      </w:r>
      <w:r w:rsidR="001A4714">
        <w:t>would</w:t>
      </w:r>
      <w:r w:rsidRPr="00237BB2">
        <w:t xml:space="preserve"> increase </w:t>
      </w:r>
      <w:r>
        <w:t>administrative burden</w:t>
      </w:r>
      <w:r w:rsidRPr="00237BB2">
        <w:t xml:space="preserve"> </w:t>
      </w:r>
    </w:p>
    <w:p w:rsidR="00237BB2" w:rsidRDefault="00237BB2" w:rsidP="00237BB2">
      <w:pPr>
        <w:pStyle w:val="Paragraphtext"/>
        <w:jc w:val="left"/>
      </w:pPr>
    </w:p>
    <w:p w:rsidR="002B2646" w:rsidRDefault="002B2646" w:rsidP="002B2646">
      <w:pPr>
        <w:pStyle w:val="Paragraphtext"/>
        <w:jc w:val="left"/>
      </w:pPr>
      <w:r>
        <w:t xml:space="preserve">Extending the scope of the MID to millions of newly in scope bikes would lead to huge administration costs for many Member States. It would also lead to a number of </w:t>
      </w:r>
      <w:r w:rsidR="00200A01">
        <w:t>EPAC</w:t>
      </w:r>
      <w:r>
        <w:t xml:space="preserve"> riders now criminalized, even those who have </w:t>
      </w:r>
      <w:r w:rsidRPr="002B0DDB">
        <w:t>personal, public or third-party liability</w:t>
      </w:r>
      <w:r>
        <w:t xml:space="preserve"> rather than motor vehicle third party insurance cover. This would cause burdens on regulatory authorities, confusion amongst millions of riders, and a patchwork of regulations and rules across the EU as some Member States start to use Article 5 and others do not.</w:t>
      </w:r>
    </w:p>
    <w:p w:rsidR="002B2646" w:rsidRDefault="002B2646" w:rsidP="00237BB2">
      <w:pPr>
        <w:pStyle w:val="Paragraphtext"/>
        <w:jc w:val="left"/>
      </w:pPr>
    </w:p>
    <w:p w:rsidR="0058416E" w:rsidRDefault="00237BB2" w:rsidP="0058416E">
      <w:pPr>
        <w:pStyle w:val="Paragraphtext"/>
        <w:rPr>
          <w:lang w:val="en-GB"/>
        </w:rPr>
      </w:pPr>
      <w:r>
        <w:lastRenderedPageBreak/>
        <w:t>The Commission analysis of the MID</w:t>
      </w:r>
      <w:r w:rsidR="0058416E">
        <w:t xml:space="preserve"> is</w:t>
      </w:r>
      <w:r>
        <w:t xml:space="preserve"> under the </w:t>
      </w:r>
      <w:r w:rsidRPr="007B5680">
        <w:rPr>
          <w:lang w:val="en-GB"/>
        </w:rPr>
        <w:t xml:space="preserve">refit programme </w:t>
      </w:r>
      <w:r>
        <w:rPr>
          <w:lang w:val="en-GB"/>
        </w:rPr>
        <w:t xml:space="preserve">which </w:t>
      </w:r>
      <w:r w:rsidRPr="007B5680">
        <w:rPr>
          <w:lang w:val="en-GB"/>
        </w:rPr>
        <w:t>is meant to lighten the load of legislation and administration</w:t>
      </w:r>
      <w:r w:rsidR="0058416E">
        <w:rPr>
          <w:lang w:val="en-GB"/>
        </w:rPr>
        <w:t>,</w:t>
      </w:r>
      <w:r w:rsidRPr="007B5680">
        <w:rPr>
          <w:lang w:val="en-GB"/>
        </w:rPr>
        <w:t xml:space="preserve"> not </w:t>
      </w:r>
      <w:r w:rsidR="0058416E">
        <w:rPr>
          <w:lang w:val="en-GB"/>
        </w:rPr>
        <w:t xml:space="preserve">to </w:t>
      </w:r>
      <w:r w:rsidRPr="007B5680">
        <w:rPr>
          <w:lang w:val="en-GB"/>
        </w:rPr>
        <w:t>make further burdens. Measures to reduce bureaucracy and administrative burdens should not be eliminated thr</w:t>
      </w:r>
      <w:r w:rsidR="005278E1">
        <w:rPr>
          <w:lang w:val="en-GB"/>
        </w:rPr>
        <w:t xml:space="preserve">ough creating new bureaucracy. </w:t>
      </w:r>
      <w:r>
        <w:rPr>
          <w:lang w:val="en-GB"/>
        </w:rPr>
        <w:t xml:space="preserve">Bringing </w:t>
      </w:r>
      <w:r w:rsidR="004F30F6">
        <w:rPr>
          <w:lang w:val="en-GB"/>
        </w:rPr>
        <w:t>compulsory</w:t>
      </w:r>
      <w:r w:rsidR="001A4714">
        <w:rPr>
          <w:lang w:val="en-GB"/>
        </w:rPr>
        <w:t xml:space="preserve"> motor vehicle</w:t>
      </w:r>
      <w:r w:rsidRPr="007B5680">
        <w:rPr>
          <w:lang w:val="en-GB"/>
        </w:rPr>
        <w:t xml:space="preserve"> insurance </w:t>
      </w:r>
      <w:r>
        <w:rPr>
          <w:lang w:val="en-GB"/>
        </w:rPr>
        <w:t xml:space="preserve">to millions of low risk </w:t>
      </w:r>
      <w:r w:rsidR="00200A01">
        <w:rPr>
          <w:lang w:val="en-GB"/>
        </w:rPr>
        <w:t>EPAC</w:t>
      </w:r>
      <w:r w:rsidR="00EE4FC0">
        <w:rPr>
          <w:lang w:val="en-GB"/>
        </w:rPr>
        <w:t xml:space="preserve">s </w:t>
      </w:r>
      <w:r>
        <w:rPr>
          <w:lang w:val="en-GB"/>
        </w:rPr>
        <w:t>would</w:t>
      </w:r>
      <w:r w:rsidRPr="007B5680">
        <w:rPr>
          <w:lang w:val="en-GB"/>
        </w:rPr>
        <w:t xml:space="preserve"> </w:t>
      </w:r>
      <w:r w:rsidR="00EE4FC0">
        <w:rPr>
          <w:lang w:val="en-GB"/>
        </w:rPr>
        <w:t>not</w:t>
      </w:r>
      <w:r w:rsidRPr="007B5680">
        <w:rPr>
          <w:lang w:val="en-GB"/>
        </w:rPr>
        <w:t xml:space="preserve"> </w:t>
      </w:r>
      <w:r>
        <w:rPr>
          <w:lang w:val="en-GB"/>
        </w:rPr>
        <w:t>reduce bureaucracy or administrative burden</w:t>
      </w:r>
      <w:r w:rsidRPr="007B5680">
        <w:rPr>
          <w:lang w:val="en-GB"/>
        </w:rPr>
        <w:t xml:space="preserve">. </w:t>
      </w:r>
    </w:p>
    <w:p w:rsidR="0058416E" w:rsidRDefault="0058416E" w:rsidP="0058416E">
      <w:pPr>
        <w:pStyle w:val="Paragraphtext"/>
        <w:rPr>
          <w:lang w:val="en-GB"/>
        </w:rPr>
      </w:pPr>
    </w:p>
    <w:p w:rsidR="004E616C" w:rsidRPr="0058416E" w:rsidRDefault="0058416E" w:rsidP="0058416E">
      <w:pPr>
        <w:pStyle w:val="Paragraphtext"/>
      </w:pPr>
      <w:r>
        <w:rPr>
          <w:lang w:val="en-GB"/>
        </w:rPr>
        <w:t xml:space="preserve">If compulsory third party insurance were to be introduced would this </w:t>
      </w:r>
      <w:r w:rsidR="00211B70">
        <w:rPr>
          <w:lang w:val="en-GB"/>
        </w:rPr>
        <w:t>mean</w:t>
      </w:r>
      <w:r>
        <w:rPr>
          <w:lang w:val="en-GB"/>
        </w:rPr>
        <w:t xml:space="preserve"> German authorities for example </w:t>
      </w:r>
      <w:r w:rsidR="00211B70">
        <w:rPr>
          <w:lang w:val="en-GB"/>
        </w:rPr>
        <w:t>setting</w:t>
      </w:r>
      <w:r>
        <w:rPr>
          <w:lang w:val="en-GB"/>
        </w:rPr>
        <w:t xml:space="preserve"> up a licensing</w:t>
      </w:r>
      <w:r w:rsidR="00211B70">
        <w:rPr>
          <w:lang w:val="en-GB"/>
        </w:rPr>
        <w:t xml:space="preserve"> and registration</w:t>
      </w:r>
      <w:r>
        <w:rPr>
          <w:lang w:val="en-GB"/>
        </w:rPr>
        <w:t xml:space="preserve"> system for their estimated </w:t>
      </w:r>
      <w:r>
        <w:rPr>
          <w:lang w:val="en-GB"/>
        </w:rPr>
        <w:t>3</w:t>
      </w:r>
      <w:r>
        <w:rPr>
          <w:lang w:val="en-GB"/>
        </w:rPr>
        <w:t xml:space="preserve"> million EPACs? The same could be asked of the millions in Belgium, the Netherlands or Austria; all now have many EPACs on their roads. </w:t>
      </w:r>
      <w:r>
        <w:t>In Switzerland, until recently it was compulsory to have a CHF-5-10 ‘Velo Vignette’ (bike sticker) ‘license’. This was a way of trying to achieve 100% bicycle and EPAC liability cover. However, in 2012, the Swiss parliament abolished the licenses</w:t>
      </w:r>
      <w:r>
        <w:rPr>
          <w:rStyle w:val="FootnoteReference"/>
        </w:rPr>
        <w:footnoteReference w:id="41"/>
      </w:r>
      <w:r>
        <w:t xml:space="preserve"> due to the huge costs involved for the limited benefits received. </w:t>
      </w:r>
      <w:r w:rsidR="0038727A" w:rsidRPr="0038727A">
        <w:rPr>
          <w:lang w:val="en-GB"/>
        </w:rPr>
        <w:t xml:space="preserve">Toronto </w:t>
      </w:r>
      <w:r w:rsidR="00877191">
        <w:rPr>
          <w:lang w:val="en-GB"/>
        </w:rPr>
        <w:t>public authorities</w:t>
      </w:r>
      <w:r w:rsidR="0038727A" w:rsidRPr="0038727A">
        <w:rPr>
          <w:lang w:val="en-GB"/>
        </w:rPr>
        <w:t xml:space="preserve"> </w:t>
      </w:r>
      <w:r w:rsidR="00211B70">
        <w:rPr>
          <w:lang w:val="en-GB"/>
        </w:rPr>
        <w:t xml:space="preserve">in Canada </w:t>
      </w:r>
      <w:r w:rsidR="0038727A" w:rsidRPr="0038727A">
        <w:rPr>
          <w:lang w:val="en-GB"/>
        </w:rPr>
        <w:t xml:space="preserve">concluded that </w:t>
      </w:r>
      <w:r w:rsidR="0038727A">
        <w:rPr>
          <w:lang w:val="en-GB"/>
        </w:rPr>
        <w:t xml:space="preserve">a license system </w:t>
      </w:r>
      <w:r w:rsidR="004E616C">
        <w:rPr>
          <w:lang w:val="en-GB"/>
        </w:rPr>
        <w:t xml:space="preserve">needed for compulsory insurance </w:t>
      </w:r>
      <w:r w:rsidR="0038727A">
        <w:rPr>
          <w:lang w:val="en-GB"/>
        </w:rPr>
        <w:t xml:space="preserve">would cost </w:t>
      </w:r>
      <w:r w:rsidR="0038727A" w:rsidRPr="0038727A">
        <w:rPr>
          <w:lang w:val="en-GB"/>
        </w:rPr>
        <w:t>abou</w:t>
      </w:r>
      <w:r w:rsidR="0038727A">
        <w:rPr>
          <w:lang w:val="en-GB"/>
        </w:rPr>
        <w:t>t 2/3 times as much the revenue</w:t>
      </w:r>
      <w:r w:rsidR="0038727A">
        <w:rPr>
          <w:rStyle w:val="FootnoteReference"/>
          <w:lang w:val="en-GB"/>
        </w:rPr>
        <w:footnoteReference w:id="42"/>
      </w:r>
      <w:r w:rsidR="00877191">
        <w:rPr>
          <w:lang w:val="en-GB"/>
        </w:rPr>
        <w:t xml:space="preserve"> and </w:t>
      </w:r>
      <w:r w:rsidR="004E616C">
        <w:rPr>
          <w:lang w:val="en-GB"/>
        </w:rPr>
        <w:t>was</w:t>
      </w:r>
      <w:r w:rsidR="00877191">
        <w:rPr>
          <w:lang w:val="en-GB"/>
        </w:rPr>
        <w:t xml:space="preserve"> </w:t>
      </w:r>
      <w:r w:rsidR="004E616C">
        <w:rPr>
          <w:lang w:val="en-GB"/>
        </w:rPr>
        <w:t xml:space="preserve">consequently </w:t>
      </w:r>
      <w:r w:rsidR="00877191">
        <w:rPr>
          <w:lang w:val="en-GB"/>
        </w:rPr>
        <w:t>not considered</w:t>
      </w:r>
      <w:r w:rsidR="004E616C">
        <w:rPr>
          <w:lang w:val="en-GB"/>
        </w:rPr>
        <w:t xml:space="preserve"> by public authorities</w:t>
      </w:r>
      <w:r w:rsidR="00EE4FC0">
        <w:rPr>
          <w:lang w:val="en-GB"/>
        </w:rPr>
        <w:t>.</w:t>
      </w:r>
      <w:r w:rsidR="00877191">
        <w:rPr>
          <w:lang w:val="en-GB"/>
        </w:rPr>
        <w:t xml:space="preserve"> </w:t>
      </w:r>
    </w:p>
    <w:p w:rsidR="004E616C" w:rsidRDefault="004E616C" w:rsidP="0038727A">
      <w:pPr>
        <w:pStyle w:val="Paragraphtext"/>
        <w:rPr>
          <w:lang w:val="en-GB"/>
        </w:rPr>
      </w:pPr>
    </w:p>
    <w:p w:rsidR="001744C9" w:rsidRDefault="00EE1D40" w:rsidP="0038727A">
      <w:pPr>
        <w:pStyle w:val="Paragraphtext"/>
      </w:pPr>
      <w:r>
        <w:t xml:space="preserve">Most </w:t>
      </w:r>
      <w:r w:rsidR="00211B70">
        <w:t>EPAC riders</w:t>
      </w:r>
      <w:r>
        <w:t xml:space="preserve"> are motor drivers and most motor vehicle insurance </w:t>
      </w:r>
      <w:r w:rsidR="0077688E">
        <w:t xml:space="preserve">often </w:t>
      </w:r>
      <w:r>
        <w:t xml:space="preserve">also covers the driver </w:t>
      </w:r>
      <w:r w:rsidR="0077688E">
        <w:t>if he/she causes</w:t>
      </w:r>
      <w:r>
        <w:t xml:space="preserve"> damage as a cyclist</w:t>
      </w:r>
      <w:r w:rsidR="00211B70">
        <w:t>/EPAC</w:t>
      </w:r>
      <w:r>
        <w:t>. Most household insurance also covers cyclists</w:t>
      </w:r>
      <w:r w:rsidR="001F4F85">
        <w:t xml:space="preserve"> and </w:t>
      </w:r>
      <w:r w:rsidR="00200A01">
        <w:t>EPAC</w:t>
      </w:r>
      <w:r>
        <w:t xml:space="preserve">, and many also </w:t>
      </w:r>
      <w:r w:rsidR="001F4F85">
        <w:t xml:space="preserve">purchase </w:t>
      </w:r>
      <w:r w:rsidR="0077688E">
        <w:t xml:space="preserve">a specific </w:t>
      </w:r>
      <w:r w:rsidR="001F4F85">
        <w:t xml:space="preserve">insurance which also includes third party liability. </w:t>
      </w:r>
      <w:r w:rsidR="0077688E">
        <w:t>Many national cycling organizations memberships also include</w:t>
      </w:r>
      <w:r w:rsidR="00C13D63">
        <w:t xml:space="preserve"> bicycle</w:t>
      </w:r>
      <w:r w:rsidR="0077688E">
        <w:t xml:space="preserve"> insurance policies as part of membership. Inclusion of </w:t>
      </w:r>
      <w:r w:rsidR="00200A01">
        <w:t>EPAC</w:t>
      </w:r>
      <w:r w:rsidR="0077688E">
        <w:t>s or bicycles within the MID would move from an already large coverage to criminalizing all these riders and forcing a shift into the MID insurance system with d</w:t>
      </w:r>
      <w:r w:rsidR="00177AE8">
        <w:t>ifferent insurance requirements.</w:t>
      </w:r>
      <w:r w:rsidR="00734015">
        <w:t xml:space="preserve"> </w:t>
      </w:r>
    </w:p>
    <w:p w:rsidR="001744C9" w:rsidRDefault="001744C9" w:rsidP="0038727A">
      <w:pPr>
        <w:pStyle w:val="Paragraphtext"/>
      </w:pPr>
    </w:p>
    <w:p w:rsidR="00EE1D40" w:rsidRDefault="00734015" w:rsidP="0038727A">
      <w:pPr>
        <w:pStyle w:val="Paragraphtext"/>
        <w:rPr>
          <w:color w:val="FF0000"/>
        </w:rPr>
      </w:pPr>
      <w:r>
        <w:t>As we have seen there were</w:t>
      </w:r>
      <w:r w:rsidR="001744C9">
        <w:t xml:space="preserve"> around 6 pedestrian serious injuries and zero pedestrian fatalities caused by an EPAC in Germany </w:t>
      </w:r>
      <w:r w:rsidR="001744C9">
        <w:t>in 2016</w:t>
      </w:r>
      <w:r w:rsidR="001744C9">
        <w:t xml:space="preserve">, the vast majority of these major liability claims would already be covered by personal liability, home insurance or other form of insurance. Compulsory third party insurance would be an </w:t>
      </w:r>
      <w:r w:rsidR="0058416E">
        <w:t>overreaction</w:t>
      </w:r>
      <w:r w:rsidR="001744C9">
        <w:t xml:space="preserve"> </w:t>
      </w:r>
      <w:r w:rsidR="0058416E">
        <w:t>and over-burdensome regulation, and which would give motorists less inclination to move from their car to a less risky form of transport, consequently increasing the risk of third party crashes with a motorized vehicle</w:t>
      </w:r>
    </w:p>
    <w:p w:rsidR="00515A0E" w:rsidRDefault="00515A0E" w:rsidP="0038727A">
      <w:pPr>
        <w:pStyle w:val="Paragraphtext"/>
        <w:rPr>
          <w:color w:val="FF0000"/>
        </w:rPr>
      </w:pPr>
    </w:p>
    <w:p w:rsidR="00515A0E" w:rsidRPr="00177AE8" w:rsidRDefault="00211B70" w:rsidP="001C1704">
      <w:pPr>
        <w:pStyle w:val="Paragraphtext"/>
      </w:pPr>
      <w:r>
        <w:t xml:space="preserve">Also </w:t>
      </w:r>
      <w:r w:rsidR="0058416E">
        <w:t>EPACs</w:t>
      </w:r>
      <w:r w:rsidR="00515A0E" w:rsidRPr="00177AE8">
        <w:t xml:space="preserve"> would lose their privileged position </w:t>
      </w:r>
      <w:r w:rsidR="00177AE8">
        <w:t xml:space="preserve">within many countries as </w:t>
      </w:r>
      <w:r w:rsidR="00515A0E" w:rsidRPr="00177AE8">
        <w:t xml:space="preserve">the </w:t>
      </w:r>
      <w:r w:rsidR="00177AE8">
        <w:t>“</w:t>
      </w:r>
      <w:r w:rsidR="00515A0E" w:rsidRPr="00177AE8">
        <w:t>Vulnerable User</w:t>
      </w:r>
      <w:r w:rsidR="00177AE8">
        <w:t>”</w:t>
      </w:r>
      <w:r w:rsidR="00515A0E" w:rsidRPr="00177AE8">
        <w:t xml:space="preserve"> within </w:t>
      </w:r>
      <w:r w:rsidR="001C1704" w:rsidRPr="00177AE8">
        <w:t>“</w:t>
      </w:r>
      <w:r w:rsidR="00515A0E" w:rsidRPr="00177AE8">
        <w:t>strict liability</w:t>
      </w:r>
      <w:r w:rsidR="001C1704" w:rsidRPr="00177AE8">
        <w:t>”</w:t>
      </w:r>
      <w:r w:rsidR="00515A0E" w:rsidRPr="00177AE8">
        <w:t xml:space="preserve"> laws</w:t>
      </w:r>
      <w:r w:rsidR="001C1704" w:rsidRPr="00177AE8">
        <w:t xml:space="preserve">. </w:t>
      </w:r>
      <w:r w:rsidR="00177AE8">
        <w:t>P</w:t>
      </w:r>
      <w:r w:rsidR="00177AE8" w:rsidRPr="00177AE8">
        <w:t xml:space="preserve">edestrians </w:t>
      </w:r>
      <w:r w:rsidR="00177AE8">
        <w:t>and c</w:t>
      </w:r>
      <w:r w:rsidR="001C1704" w:rsidRPr="00177AE8">
        <w:t>yclists</w:t>
      </w:r>
      <w:r w:rsidR="00177AE8">
        <w:t xml:space="preserve">, and so consequently also </w:t>
      </w:r>
      <w:r w:rsidR="00200A01">
        <w:t>EPAC</w:t>
      </w:r>
      <w:r w:rsidR="00177AE8">
        <w:t xml:space="preserve">s, </w:t>
      </w:r>
      <w:r w:rsidR="001C1704" w:rsidRPr="00177AE8">
        <w:t xml:space="preserve">are protected from motor vehicles within strict liability regimes. </w:t>
      </w:r>
      <w:r w:rsidR="00200A01">
        <w:t>EPAC</w:t>
      </w:r>
      <w:r w:rsidR="001C1704" w:rsidRPr="00177AE8">
        <w:t xml:space="preserve">s </w:t>
      </w:r>
      <w:r>
        <w:t xml:space="preserve">if </w:t>
      </w:r>
      <w:r w:rsidR="00177AE8">
        <w:t xml:space="preserve">classed as a motor vehicle </w:t>
      </w:r>
      <w:r>
        <w:t>would,</w:t>
      </w:r>
      <w:r w:rsidR="001C1704" w:rsidRPr="00177AE8">
        <w:t xml:space="preserve"> </w:t>
      </w:r>
      <w:r w:rsidR="00177AE8">
        <w:t xml:space="preserve">in the event of a crash </w:t>
      </w:r>
      <w:r>
        <w:t>with a car would lead to the car/</w:t>
      </w:r>
      <w:r w:rsidR="00177AE8">
        <w:t>motor vehicle no longer be</w:t>
      </w:r>
      <w:r>
        <w:t>ing</w:t>
      </w:r>
      <w:r w:rsidR="00177AE8">
        <w:t xml:space="preserve"> presumed liable, </w:t>
      </w:r>
      <w:r w:rsidR="001C1704" w:rsidRPr="00177AE8">
        <w:t xml:space="preserve">if Member States wanted to continue protecting </w:t>
      </w:r>
      <w:r w:rsidR="00200A01">
        <w:t>EPAC</w:t>
      </w:r>
      <w:r w:rsidR="001C1704" w:rsidRPr="00177AE8">
        <w:t xml:space="preserve"> users within the strict liability regime they would have to reformulate legislation. </w:t>
      </w:r>
      <w:r w:rsidR="00177AE8">
        <w:t>E</w:t>
      </w:r>
      <w:r w:rsidR="001C1704" w:rsidRPr="00177AE8">
        <w:t xml:space="preserve">very European country except Bulgaria, Cyprus Ireland, Lithuania, Malta, Portugal, Romania, Slovakia, and the UK, </w:t>
      </w:r>
      <w:r w:rsidR="00177AE8">
        <w:t>has some form of strict liability regime</w:t>
      </w:r>
      <w:r w:rsidR="001C1704" w:rsidRPr="00177AE8">
        <w:t xml:space="preserve">. Within the context of the Refit Directive, the Commission should try to understand how Member States would include </w:t>
      </w:r>
      <w:r w:rsidR="00200A01">
        <w:t>EPAC</w:t>
      </w:r>
      <w:r w:rsidR="001C1704" w:rsidRPr="00177AE8">
        <w:t xml:space="preserve">s within their strict liability regimes if </w:t>
      </w:r>
      <w:r w:rsidR="00200A01">
        <w:t>EPAC</w:t>
      </w:r>
      <w:r w:rsidR="001C1704" w:rsidRPr="00177AE8">
        <w:t>s were to be seen as motorized vehicles.</w:t>
      </w:r>
    </w:p>
    <w:p w:rsidR="002B2646" w:rsidRPr="00177AE8" w:rsidRDefault="002B2646" w:rsidP="0038727A">
      <w:pPr>
        <w:pStyle w:val="Paragraphtext"/>
      </w:pPr>
    </w:p>
    <w:p w:rsidR="001E1D45" w:rsidRDefault="002B2646" w:rsidP="004E616C">
      <w:pPr>
        <w:pStyle w:val="Paragraphtext"/>
        <w:rPr>
          <w:lang w:val="en-GB"/>
        </w:rPr>
      </w:pPr>
      <w:r w:rsidRPr="001E1D45">
        <w:rPr>
          <w:lang w:val="en-GB"/>
        </w:rPr>
        <w:t>Finally,</w:t>
      </w:r>
      <w:r w:rsidR="004E616C" w:rsidRPr="001E1D45">
        <w:rPr>
          <w:lang w:val="en-GB"/>
        </w:rPr>
        <w:t xml:space="preserve"> if </w:t>
      </w:r>
      <w:r w:rsidR="00200A01">
        <w:rPr>
          <w:lang w:val="en-GB"/>
        </w:rPr>
        <w:t>EPAC</w:t>
      </w:r>
      <w:r w:rsidR="004E616C" w:rsidRPr="001E1D45">
        <w:rPr>
          <w:lang w:val="en-GB"/>
        </w:rPr>
        <w:t xml:space="preserve">s were to be included within the MID some or many </w:t>
      </w:r>
      <w:r w:rsidR="001E1D45" w:rsidRPr="001E1D45">
        <w:rPr>
          <w:lang w:val="en-GB"/>
        </w:rPr>
        <w:t>member states would</w:t>
      </w:r>
      <w:r w:rsidR="004E616C" w:rsidRPr="001E1D45">
        <w:rPr>
          <w:lang w:val="en-GB"/>
        </w:rPr>
        <w:t xml:space="preserve"> be forced to activate the Article 5 clause in the </w:t>
      </w:r>
      <w:r w:rsidR="001E1D45" w:rsidRPr="001E1D45">
        <w:rPr>
          <w:lang w:val="en-GB"/>
        </w:rPr>
        <w:t xml:space="preserve">Directive. </w:t>
      </w:r>
      <w:r w:rsidR="004E616C" w:rsidRPr="007B5680">
        <w:rPr>
          <w:lang w:val="en-GB"/>
        </w:rPr>
        <w:t>Article 5 allows Member States to nominate vehicles that would not be included within the MID within their national borders</w:t>
      </w:r>
      <w:r w:rsidR="004E616C" w:rsidRPr="007B5680">
        <w:rPr>
          <w:rStyle w:val="FootnoteReference"/>
          <w:lang w:val="en-GB"/>
        </w:rPr>
        <w:footnoteReference w:id="43"/>
      </w:r>
      <w:r w:rsidR="004E616C" w:rsidRPr="007B5680">
        <w:rPr>
          <w:lang w:val="en-GB"/>
        </w:rPr>
        <w:t>.</w:t>
      </w:r>
      <w:r w:rsidR="00E92EB8">
        <w:rPr>
          <w:lang w:val="en-GB"/>
        </w:rPr>
        <w:t xml:space="preserve"> </w:t>
      </w:r>
      <w:r w:rsidR="004E616C">
        <w:rPr>
          <w:lang w:val="en-GB"/>
        </w:rPr>
        <w:t>Article 5 should h</w:t>
      </w:r>
      <w:r w:rsidR="004E616C" w:rsidRPr="007B5680">
        <w:rPr>
          <w:lang w:val="en-GB"/>
        </w:rPr>
        <w:t xml:space="preserve">owever not be used </w:t>
      </w:r>
      <w:r w:rsidR="004E616C" w:rsidRPr="007B5680">
        <w:rPr>
          <w:lang w:val="en-GB"/>
        </w:rPr>
        <w:lastRenderedPageBreak/>
        <w:t>as a tool by the Commission to deal with defining what exactly is meant as ‘vehicle’ in the Directive. This review comes under the Refit programme which is intended to make EU legislation simpler, harmonised, and less bureaucratic, creating a patchwork system of national exemptions should be used as a last resort</w:t>
      </w:r>
      <w:r w:rsidR="001E1D45">
        <w:rPr>
          <w:lang w:val="en-GB"/>
        </w:rPr>
        <w:t xml:space="preserve"> for member states. Creating confusion within the directive with a vague notion of motorised vehicle and then expecting member states to clear up the mess would run counter to the Refit programme.</w:t>
      </w:r>
      <w:r w:rsidR="00211B70">
        <w:rPr>
          <w:lang w:val="en-GB"/>
        </w:rPr>
        <w:t xml:space="preserve"> Would strict liability definitions of ‘motor vehicle’ follow national Article 5 exemptions or EU MID definitions? </w:t>
      </w:r>
      <w:r w:rsidR="001E1D45">
        <w:rPr>
          <w:lang w:val="en-GB"/>
        </w:rPr>
        <w:t xml:space="preserve"> We would </w:t>
      </w:r>
      <w:r w:rsidR="00211B70">
        <w:rPr>
          <w:lang w:val="en-GB"/>
        </w:rPr>
        <w:t>also have a patch</w:t>
      </w:r>
      <w:r w:rsidR="001E1D45">
        <w:rPr>
          <w:lang w:val="en-GB"/>
        </w:rPr>
        <w:t xml:space="preserve">work </w:t>
      </w:r>
      <w:r>
        <w:rPr>
          <w:lang w:val="en-GB"/>
        </w:rPr>
        <w:t>of legislation across the EU where a bike was legal in one country and then illegal in another</w:t>
      </w:r>
      <w:r w:rsidR="00211B70">
        <w:rPr>
          <w:lang w:val="en-GB"/>
        </w:rPr>
        <w:t>, causing confusion amongst the huge growth in cycling tourism across EU borders and along long distance cycle routes such as the EuroVelo routes</w:t>
      </w:r>
      <w:r w:rsidR="00211B70">
        <w:rPr>
          <w:rStyle w:val="FootnoteReference"/>
          <w:lang w:val="en-GB"/>
        </w:rPr>
        <w:footnoteReference w:id="44"/>
      </w:r>
      <w:r w:rsidR="00211B70">
        <w:rPr>
          <w:lang w:val="en-GB"/>
        </w:rPr>
        <w:t xml:space="preserve"> </w:t>
      </w:r>
      <w:r>
        <w:rPr>
          <w:lang w:val="en-GB"/>
        </w:rPr>
        <w:t xml:space="preserve">. </w:t>
      </w:r>
    </w:p>
    <w:p w:rsidR="009710C6" w:rsidRDefault="009710C6" w:rsidP="001C2BD8">
      <w:pPr>
        <w:pStyle w:val="Paragraphtext"/>
        <w:jc w:val="left"/>
        <w:rPr>
          <w:lang w:val="en-GB"/>
        </w:rPr>
      </w:pPr>
    </w:p>
    <w:p w:rsidR="002B2646" w:rsidRDefault="00E92EB8" w:rsidP="005278E1">
      <w:pPr>
        <w:pStyle w:val="ECF-Heading1"/>
      </w:pPr>
      <w:r>
        <w:t>ECF recommendations</w:t>
      </w:r>
    </w:p>
    <w:p w:rsidR="00177AE8" w:rsidRPr="00B827DE" w:rsidRDefault="00177AE8" w:rsidP="005E30B1">
      <w:pPr>
        <w:pStyle w:val="Paragraphtext"/>
        <w:jc w:val="left"/>
        <w:rPr>
          <w:b/>
          <w:i/>
          <w:u w:val="single"/>
          <w:lang w:val="en-GB"/>
        </w:rPr>
      </w:pPr>
      <w:r w:rsidRPr="00B827DE">
        <w:rPr>
          <w:b/>
          <w:i/>
          <w:u w:val="single"/>
          <w:lang w:val="en-GB"/>
        </w:rPr>
        <w:t xml:space="preserve">ECF would recommend that the European Commission </w:t>
      </w:r>
    </w:p>
    <w:p w:rsidR="0058416E" w:rsidRDefault="0058416E" w:rsidP="005E30B1">
      <w:pPr>
        <w:pStyle w:val="Paragraphtext"/>
        <w:jc w:val="left"/>
        <w:rPr>
          <w:lang w:val="en-GB"/>
        </w:rPr>
      </w:pPr>
    </w:p>
    <w:p w:rsidR="00177AE8" w:rsidRDefault="00177AE8" w:rsidP="00177AE8">
      <w:pPr>
        <w:pStyle w:val="Paragraphtext"/>
        <w:numPr>
          <w:ilvl w:val="0"/>
          <w:numId w:val="20"/>
        </w:numPr>
        <w:jc w:val="left"/>
        <w:rPr>
          <w:lang w:val="en-GB"/>
        </w:rPr>
      </w:pPr>
      <w:r>
        <w:rPr>
          <w:lang w:val="en-GB"/>
        </w:rPr>
        <w:t xml:space="preserve">Carefully reconsiders the implications of </w:t>
      </w:r>
      <w:r w:rsidR="00200A01">
        <w:rPr>
          <w:lang w:val="en-GB"/>
        </w:rPr>
        <w:t>expanding the scope of the MID to include</w:t>
      </w:r>
      <w:r>
        <w:rPr>
          <w:lang w:val="en-GB"/>
        </w:rPr>
        <w:t xml:space="preserve"> millions of electrically assisted bicycles within the MID</w:t>
      </w:r>
    </w:p>
    <w:p w:rsidR="00177AE8" w:rsidRDefault="00177AE8" w:rsidP="00177AE8">
      <w:pPr>
        <w:pStyle w:val="Paragraphtext"/>
        <w:numPr>
          <w:ilvl w:val="0"/>
          <w:numId w:val="20"/>
        </w:numPr>
        <w:jc w:val="left"/>
        <w:rPr>
          <w:lang w:val="en-GB"/>
        </w:rPr>
      </w:pPr>
      <w:r>
        <w:rPr>
          <w:lang w:val="en-GB"/>
        </w:rPr>
        <w:t>Excludes vehicles from the MID that are not type approved and have a pedal assisted boost</w:t>
      </w:r>
    </w:p>
    <w:p w:rsidR="00177AE8" w:rsidRDefault="00177AE8" w:rsidP="00177AE8">
      <w:pPr>
        <w:pStyle w:val="Paragraphtext"/>
        <w:jc w:val="left"/>
        <w:rPr>
          <w:lang w:val="en-GB"/>
        </w:rPr>
      </w:pPr>
    </w:p>
    <w:p w:rsidR="00177AE8" w:rsidRDefault="00177AE8" w:rsidP="00177AE8">
      <w:pPr>
        <w:pStyle w:val="Paragraphtext"/>
        <w:jc w:val="left"/>
        <w:rPr>
          <w:lang w:val="en-GB"/>
        </w:rPr>
      </w:pPr>
      <w:r>
        <w:rPr>
          <w:lang w:val="en-GB"/>
        </w:rPr>
        <w:t>In order to define a motor vehicle text as a definition of a motor vehicle within the Directive could be;</w:t>
      </w:r>
    </w:p>
    <w:p w:rsidR="00177AE8" w:rsidRDefault="00177AE8" w:rsidP="00177AE8">
      <w:pPr>
        <w:pStyle w:val="Paragraphtext"/>
        <w:jc w:val="left"/>
        <w:rPr>
          <w:lang w:val="en-GB"/>
        </w:rPr>
      </w:pPr>
    </w:p>
    <w:p w:rsidR="00177AE8" w:rsidRDefault="00177AE8" w:rsidP="00177AE8">
      <w:pPr>
        <w:pStyle w:val="Paragraphtext"/>
        <w:jc w:val="left"/>
      </w:pPr>
      <w:r w:rsidRPr="007B5680">
        <w:t xml:space="preserve">“…any motor vehicle intended for travel on </w:t>
      </w:r>
      <w:r w:rsidRPr="00177AE8">
        <w:rPr>
          <w:strike/>
        </w:rPr>
        <w:t>land</w:t>
      </w:r>
      <w:r w:rsidRPr="007B5680">
        <w:t xml:space="preserve"> </w:t>
      </w:r>
      <w:r w:rsidRPr="007B5680">
        <w:rPr>
          <w:b/>
          <w:i/>
          <w:u w:val="single"/>
        </w:rPr>
        <w:t>on public roads</w:t>
      </w:r>
      <w:r w:rsidRPr="007B5680">
        <w:t xml:space="preserve"> and propelled </w:t>
      </w:r>
      <w:r w:rsidRPr="007B5680">
        <w:rPr>
          <w:b/>
          <w:i/>
          <w:u w:val="single"/>
        </w:rPr>
        <w:t>solely</w:t>
      </w:r>
      <w:r>
        <w:t xml:space="preserve"> by mechanical power </w:t>
      </w:r>
      <w:r w:rsidRPr="00177AE8">
        <w:rPr>
          <w:b/>
          <w:i/>
          <w:u w:val="single"/>
        </w:rPr>
        <w:t xml:space="preserve">or </w:t>
      </w:r>
      <w:r w:rsidR="00B827DE">
        <w:rPr>
          <w:b/>
          <w:i/>
          <w:u w:val="single"/>
        </w:rPr>
        <w:t>requiring</w:t>
      </w:r>
      <w:r>
        <w:rPr>
          <w:b/>
          <w:i/>
          <w:u w:val="single"/>
        </w:rPr>
        <w:t xml:space="preserve"> </w:t>
      </w:r>
      <w:r w:rsidRPr="00177AE8">
        <w:rPr>
          <w:b/>
          <w:i/>
          <w:u w:val="single"/>
        </w:rPr>
        <w:t xml:space="preserve">EU type approval </w:t>
      </w:r>
      <w:r>
        <w:rPr>
          <w:b/>
          <w:i/>
          <w:u w:val="single"/>
        </w:rPr>
        <w:t>conformity</w:t>
      </w:r>
      <w:r>
        <w:t xml:space="preserve"> </w:t>
      </w:r>
      <w:r w:rsidRPr="007B5680">
        <w:t xml:space="preserve">but not running on rails, and any </w:t>
      </w:r>
      <w:r>
        <w:t>trailer whether or not coupled”</w:t>
      </w:r>
    </w:p>
    <w:p w:rsidR="0058416E" w:rsidRDefault="0058416E" w:rsidP="00177AE8">
      <w:pPr>
        <w:pStyle w:val="Paragraphtext"/>
        <w:jc w:val="left"/>
      </w:pPr>
    </w:p>
    <w:p w:rsidR="0058416E" w:rsidRPr="00B827DE" w:rsidRDefault="00B827DE" w:rsidP="00177AE8">
      <w:pPr>
        <w:pStyle w:val="Paragraphtext"/>
        <w:jc w:val="left"/>
        <w:rPr>
          <w:b/>
          <w:i/>
          <w:u w:val="single"/>
        </w:rPr>
      </w:pPr>
      <w:r w:rsidRPr="00B827DE">
        <w:rPr>
          <w:b/>
          <w:i/>
          <w:u w:val="single"/>
        </w:rPr>
        <w:t xml:space="preserve">We could also envision the </w:t>
      </w:r>
      <w:r w:rsidR="00D05317">
        <w:rPr>
          <w:b/>
          <w:i/>
          <w:u w:val="single"/>
        </w:rPr>
        <w:t>exemptions within current Two and T</w:t>
      </w:r>
      <w:r w:rsidRPr="00B827DE">
        <w:rPr>
          <w:b/>
          <w:i/>
          <w:u w:val="single"/>
        </w:rPr>
        <w:t>hree wheel Type Approval;</w:t>
      </w:r>
    </w:p>
    <w:p w:rsidR="00B827DE" w:rsidRDefault="00B827DE" w:rsidP="00177AE8">
      <w:pPr>
        <w:pStyle w:val="Paragraphtext"/>
        <w:jc w:val="left"/>
        <w:rPr>
          <w:lang w:val="en-GB"/>
        </w:rPr>
      </w:pPr>
    </w:p>
    <w:p w:rsidR="00B827DE" w:rsidRPr="00B827DE" w:rsidRDefault="00B827DE" w:rsidP="00B827DE">
      <w:pPr>
        <w:pStyle w:val="Paragraphtext"/>
        <w:rPr>
          <w:lang w:val="en-GB"/>
        </w:rPr>
      </w:pPr>
      <w:r w:rsidRPr="00B827DE">
        <w:rPr>
          <w:lang w:val="en-GB"/>
        </w:rPr>
        <w:t>This Regulation does not apply to the following vehicles:</w:t>
      </w:r>
    </w:p>
    <w:p w:rsidR="00B827DE" w:rsidRPr="00B827DE" w:rsidRDefault="00B827DE" w:rsidP="00B827DE">
      <w:pPr>
        <w:pStyle w:val="Paragraphtext"/>
        <w:rPr>
          <w:lang w:val="en-GB"/>
        </w:rPr>
      </w:pPr>
      <w:r w:rsidRPr="00B827DE">
        <w:rPr>
          <w:lang w:val="en-GB"/>
        </w:rPr>
        <w:t>(a) vehicles with  a  maximum  design  speed  not  exceeding 6 km/h;</w:t>
      </w:r>
    </w:p>
    <w:p w:rsidR="00B827DE" w:rsidRPr="00B827DE" w:rsidRDefault="00B827DE" w:rsidP="00B827DE">
      <w:pPr>
        <w:pStyle w:val="Paragraphtext"/>
        <w:rPr>
          <w:lang w:val="en-GB"/>
        </w:rPr>
      </w:pPr>
      <w:r w:rsidRPr="00B827DE">
        <w:rPr>
          <w:lang w:val="en-GB"/>
        </w:rPr>
        <w:t>(b) vehicles exclusively intended for use by the physically handi­capped;</w:t>
      </w:r>
    </w:p>
    <w:p w:rsidR="00B827DE" w:rsidRDefault="00B827DE" w:rsidP="00B827DE">
      <w:pPr>
        <w:pStyle w:val="Paragraphtext"/>
        <w:jc w:val="left"/>
        <w:rPr>
          <w:lang w:val="en-GB"/>
        </w:rPr>
      </w:pPr>
      <w:r w:rsidRPr="00B827DE">
        <w:rPr>
          <w:lang w:val="en-GB"/>
        </w:rPr>
        <w:t>(c) vehicles exclusively intended for pedestrian control;</w:t>
      </w:r>
    </w:p>
    <w:p w:rsidR="00B827DE" w:rsidRPr="00B827DE" w:rsidRDefault="00B827DE" w:rsidP="00B827DE">
      <w:pPr>
        <w:pStyle w:val="Paragraphtext"/>
        <w:rPr>
          <w:lang w:val="en-GB"/>
        </w:rPr>
      </w:pPr>
      <w:r w:rsidRPr="00B827DE">
        <w:rPr>
          <w:lang w:val="en-GB"/>
        </w:rPr>
        <w:t>(d) vehicles exclusively intended for use in competition;</w:t>
      </w:r>
    </w:p>
    <w:p w:rsidR="00B827DE" w:rsidRPr="00B827DE" w:rsidRDefault="00B827DE" w:rsidP="00B827DE">
      <w:pPr>
        <w:pStyle w:val="Paragraphtext"/>
        <w:rPr>
          <w:lang w:val="en-GB"/>
        </w:rPr>
      </w:pPr>
      <w:r w:rsidRPr="00B827DE">
        <w:rPr>
          <w:lang w:val="en-GB"/>
        </w:rPr>
        <w:t>(e) vehicles designed and constructed for use by the armed services, civil defence, fire services, forces responsible for maintaining public order and emergency medical services;</w:t>
      </w:r>
    </w:p>
    <w:p w:rsidR="00B827DE" w:rsidRPr="00B827DE" w:rsidRDefault="00B827DE" w:rsidP="00B827DE">
      <w:pPr>
        <w:pStyle w:val="Paragraphtext"/>
        <w:rPr>
          <w:lang w:val="en-GB"/>
        </w:rPr>
      </w:pPr>
      <w:r w:rsidRPr="00B827DE">
        <w:rPr>
          <w:lang w:val="en-GB"/>
        </w:rPr>
        <w:t>(f) agricultural or forestry vehicles subject to Regulation (EU) No 167/2013 of the European Parliament and of the Council of 5 February 2013 on the approval and market surveillance of agricultural and forestry vehicles (1), machines subject to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(2) and Directive 2006/42/EC of the European Parliament</w:t>
      </w:r>
      <w:r w:rsidR="00D05317">
        <w:rPr>
          <w:lang w:val="en-GB"/>
        </w:rPr>
        <w:t xml:space="preserve"> </w:t>
      </w:r>
      <w:r w:rsidRPr="00B827DE">
        <w:rPr>
          <w:lang w:val="en-GB"/>
        </w:rPr>
        <w:t>and of the Council of 17 May 2006 on machinery (3) and motor vehicles subject to Directive 2007/46/EC;</w:t>
      </w:r>
    </w:p>
    <w:p w:rsidR="00B827DE" w:rsidRPr="00B827DE" w:rsidRDefault="00B827DE" w:rsidP="00B827DE">
      <w:pPr>
        <w:pStyle w:val="Paragraphtext"/>
        <w:rPr>
          <w:lang w:val="en-GB"/>
        </w:rPr>
      </w:pPr>
      <w:r w:rsidRPr="00B827DE">
        <w:rPr>
          <w:lang w:val="en-GB"/>
        </w:rPr>
        <w:lastRenderedPageBreak/>
        <w:t>(g) vehicles primarily intended for off-road use and designed to travel on unpaved surfaces;</w:t>
      </w:r>
    </w:p>
    <w:p w:rsidR="00B827DE" w:rsidRPr="00B827DE" w:rsidRDefault="00B827DE" w:rsidP="00B827DE">
      <w:pPr>
        <w:pStyle w:val="Paragraphtext"/>
        <w:rPr>
          <w:lang w:val="en-GB"/>
        </w:rPr>
      </w:pPr>
      <w:r w:rsidRPr="00B827DE">
        <w:rPr>
          <w:lang w:val="en-GB"/>
        </w:rPr>
        <w:t>(h)  pedal cycles with pedal assistance which are equipped with an auxiliary electric motor having a maximum continuous rated power of less than or equal to 250 W, where the output of the motor is cut off when the cyclist stops pedalling and is otherwise progressively reduced and finally cut off before the vehicle speed reaches 25 km/h;</w:t>
      </w:r>
    </w:p>
    <w:p w:rsidR="00B827DE" w:rsidRDefault="00B827DE" w:rsidP="00B827DE">
      <w:pPr>
        <w:pStyle w:val="Paragraphtext"/>
        <w:jc w:val="left"/>
        <w:rPr>
          <w:lang w:val="en-GB"/>
        </w:rPr>
      </w:pPr>
      <w:r w:rsidRPr="00B827DE">
        <w:rPr>
          <w:lang w:val="en-GB"/>
        </w:rPr>
        <w:t>(i) self-balancing vehicles;</w:t>
      </w:r>
    </w:p>
    <w:p w:rsidR="00D05317" w:rsidRPr="00D05317" w:rsidRDefault="00D05317" w:rsidP="00D05317">
      <w:pPr>
        <w:pStyle w:val="Paragraphtext"/>
        <w:rPr>
          <w:lang w:val="en-GB"/>
        </w:rPr>
      </w:pPr>
      <w:r w:rsidRPr="00D05317">
        <w:rPr>
          <w:lang w:val="en-GB"/>
        </w:rPr>
        <w:t>(j) vehicles not equipped with at least one seating position;</w:t>
      </w:r>
    </w:p>
    <w:p w:rsidR="00D05317" w:rsidRPr="00D05317" w:rsidRDefault="00D05317" w:rsidP="00D05317">
      <w:pPr>
        <w:pStyle w:val="Paragraphtext"/>
        <w:rPr>
          <w:lang w:val="en-GB"/>
        </w:rPr>
      </w:pPr>
      <w:r w:rsidRPr="00D05317">
        <w:rPr>
          <w:lang w:val="en-GB"/>
        </w:rPr>
        <w:t>(k) vehicles equipped with any seating position of the driver or</w:t>
      </w:r>
      <w:r>
        <w:rPr>
          <w:lang w:val="en-GB"/>
        </w:rPr>
        <w:t xml:space="preserve"> </w:t>
      </w:r>
      <w:r w:rsidRPr="00D05317">
        <w:rPr>
          <w:lang w:val="en-GB"/>
        </w:rPr>
        <w:t xml:space="preserve">rider having an R-point height  </w:t>
      </w:r>
      <w:r w:rsidRPr="00D05317">
        <w:rPr>
          <w:rFonts w:ascii="Times New Roman" w:hAnsi="Times New Roman"/>
          <w:lang w:val="en-GB"/>
        </w:rPr>
        <w:t>≤</w:t>
      </w:r>
      <w:r w:rsidRPr="00D05317">
        <w:rPr>
          <w:lang w:val="en-GB"/>
        </w:rPr>
        <w:t xml:space="preserve">540 mm  in  case  of categories L1e, L3e and L4e or  </w:t>
      </w:r>
      <w:r w:rsidRPr="00D05317">
        <w:rPr>
          <w:rFonts w:ascii="Times New Roman" w:hAnsi="Times New Roman"/>
          <w:lang w:val="en-GB"/>
        </w:rPr>
        <w:t>≤</w:t>
      </w:r>
      <w:r w:rsidRPr="00D05317">
        <w:rPr>
          <w:lang w:val="en-GB"/>
        </w:rPr>
        <w:t>400 mm  in  case  of categories L2e, L5e, L6e and L7e.</w:t>
      </w:r>
    </w:p>
    <w:sectPr w:rsidR="00D05317" w:rsidRPr="00D05317" w:rsidSect="0058238B">
      <w:headerReference w:type="default" r:id="rId12"/>
      <w:footerReference w:type="default" r:id="rId13"/>
      <w:headerReference w:type="first" r:id="rId14"/>
      <w:footerReference w:type="first" r:id="rId15"/>
      <w:type w:val="continuous"/>
      <w:pgSz w:w="11906" w:h="16838" w:code="9"/>
      <w:pgMar w:top="1701" w:right="1196" w:bottom="1701" w:left="102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5D" w:rsidRDefault="005B445D">
      <w:r>
        <w:separator/>
      </w:r>
    </w:p>
    <w:p w:rsidR="005B445D" w:rsidRDefault="005B445D"/>
  </w:endnote>
  <w:endnote w:type="continuationSeparator" w:id="0">
    <w:p w:rsidR="005B445D" w:rsidRDefault="005B445D">
      <w:r>
        <w:continuationSeparator/>
      </w:r>
    </w:p>
    <w:p w:rsidR="005B445D" w:rsidRDefault="005B4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Regular">
    <w:altName w:val="Courier New"/>
    <w:charset w:val="00"/>
    <w:family w:val="auto"/>
    <w:pitch w:val="variable"/>
    <w:sig w:usb0="00000083" w:usb1="00000000" w:usb2="00000000" w:usb3="00000000" w:csb0="00000009" w:csb1="00000000"/>
  </w:font>
  <w:font w:name="FuturaTEE">
    <w:panose1 w:val="00000000000000000000"/>
    <w:charset w:val="00"/>
    <w:family w:val="auto"/>
    <w:pitch w:val="variable"/>
    <w:sig w:usb0="A0000007" w:usb1="00000008" w:usb2="00000000" w:usb3="00000000" w:csb0="00000111" w:csb1="00000000"/>
  </w:font>
  <w:font w:name="Tahoma">
    <w:panose1 w:val="020B0604030504040204"/>
    <w:charset w:val="00"/>
    <w:family w:val="swiss"/>
    <w:pitch w:val="variable"/>
    <w:sig w:usb0="E1002EFF" w:usb1="C000605B" w:usb2="00000029" w:usb3="00000000" w:csb0="000101FF" w:csb1="00000000"/>
  </w:font>
  <w:font w:name="FuturaBold Ro">
    <w:panose1 w:val="00000400000000000000"/>
    <w:charset w:val="00"/>
    <w:family w:val="auto"/>
    <w:pitch w:val="variable"/>
    <w:sig w:usb0="800000AF" w:usb1="10000048" w:usb2="00000000" w:usb3="00000000" w:csb0="00000001" w:csb1="00000000"/>
  </w:font>
  <w:font w:name="Futura">
    <w:altName w:val="Lucida Sans Unicode"/>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Segoe UI Semilight"/>
    <w:panose1 w:val="020B0402020204020303"/>
    <w:charset w:val="00"/>
    <w:family w:val="swiss"/>
    <w:pitch w:val="variable"/>
    <w:sig w:usb0="800000AF" w:usb1="1000204A" w:usb2="00000000" w:usb3="00000000" w:csb0="00000011" w:csb1="00000000"/>
  </w:font>
  <w:font w:name="OneGulliver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5D" w:rsidRPr="00670E60" w:rsidRDefault="005B445D" w:rsidP="00522628">
    <w:pPr>
      <w:pStyle w:val="Footer"/>
      <w:jc w:val="right"/>
      <w:rPr>
        <w:sz w:val="20"/>
        <w:szCs w:val="20"/>
      </w:rPr>
    </w:pPr>
    <w:r>
      <w:rPr>
        <w:noProof/>
        <w:lang w:val="en-GB" w:eastAsia="en-GB"/>
      </w:rPr>
      <w:drawing>
        <wp:anchor distT="0" distB="0" distL="114300" distR="114300" simplePos="0" relativeHeight="251658752" behindDoc="1" locked="0" layoutInCell="1" allowOverlap="1">
          <wp:simplePos x="0" y="0"/>
          <wp:positionH relativeFrom="page">
            <wp:align>right</wp:align>
          </wp:positionH>
          <wp:positionV relativeFrom="paragraph">
            <wp:posOffset>220980</wp:posOffset>
          </wp:positionV>
          <wp:extent cx="7543165" cy="523875"/>
          <wp:effectExtent l="0" t="0" r="635" b="952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5483" t="28641" r="17638" b="63100"/>
                  <a:stretch>
                    <a:fillRect/>
                  </a:stretch>
                </pic:blipFill>
                <pic:spPr bwMode="auto">
                  <a:xfrm>
                    <a:off x="0" y="0"/>
                    <a:ext cx="754316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E60">
      <w:rPr>
        <w:rStyle w:val="PageNumber"/>
        <w:rFonts w:ascii="Futura Lt BT" w:hAnsi="Futura Lt BT"/>
        <w:color w:val="038E9A"/>
        <w:sz w:val="20"/>
        <w:szCs w:val="20"/>
      </w:rPr>
      <w:t xml:space="preserve">Page </w:t>
    </w:r>
    <w:r w:rsidRPr="00670E60">
      <w:rPr>
        <w:rStyle w:val="PageNumber"/>
        <w:rFonts w:ascii="Futura Lt BT" w:hAnsi="Futura Lt BT"/>
        <w:color w:val="038E9A"/>
        <w:sz w:val="20"/>
        <w:szCs w:val="20"/>
      </w:rPr>
      <w:fldChar w:fldCharType="begin"/>
    </w:r>
    <w:r w:rsidRPr="00670E60">
      <w:rPr>
        <w:rStyle w:val="PageNumber"/>
        <w:rFonts w:ascii="Futura Lt BT" w:hAnsi="Futura Lt BT"/>
        <w:color w:val="038E9A"/>
        <w:sz w:val="20"/>
        <w:szCs w:val="20"/>
      </w:rPr>
      <w:instrText xml:space="preserve"> PAGE </w:instrText>
    </w:r>
    <w:r w:rsidRPr="00670E60">
      <w:rPr>
        <w:rStyle w:val="PageNumber"/>
        <w:rFonts w:ascii="Futura Lt BT" w:hAnsi="Futura Lt BT"/>
        <w:color w:val="038E9A"/>
        <w:sz w:val="20"/>
        <w:szCs w:val="20"/>
      </w:rPr>
      <w:fldChar w:fldCharType="separate"/>
    </w:r>
    <w:r w:rsidR="0010722A">
      <w:rPr>
        <w:rStyle w:val="PageNumber"/>
        <w:rFonts w:ascii="Futura Lt BT" w:hAnsi="Futura Lt BT"/>
        <w:noProof/>
        <w:color w:val="038E9A"/>
        <w:sz w:val="20"/>
        <w:szCs w:val="20"/>
      </w:rPr>
      <w:t>3</w:t>
    </w:r>
    <w:r w:rsidRPr="00670E60">
      <w:rPr>
        <w:rStyle w:val="PageNumber"/>
        <w:rFonts w:ascii="Futura Lt BT" w:hAnsi="Futura Lt BT"/>
        <w:color w:val="038E9A"/>
        <w:sz w:val="20"/>
        <w:szCs w:val="20"/>
      </w:rPr>
      <w:fldChar w:fldCharType="end"/>
    </w:r>
    <w:r w:rsidRPr="00670E60">
      <w:rPr>
        <w:rStyle w:val="PageNumber"/>
        <w:rFonts w:ascii="Futura Lt BT" w:hAnsi="Futura Lt BT"/>
        <w:color w:val="038E9A"/>
        <w:sz w:val="20"/>
        <w:szCs w:val="20"/>
      </w:rPr>
      <w:t>/</w:t>
    </w:r>
    <w:fldSimple w:instr=" NUMPAGES  \* Arabic  \* MERGEFORMAT ">
      <w:r w:rsidR="0010722A" w:rsidRPr="0010722A">
        <w:rPr>
          <w:noProof/>
          <w:sz w:val="20"/>
          <w:szCs w:val="20"/>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5D" w:rsidRPr="00B47FC3" w:rsidRDefault="005B445D" w:rsidP="00522628">
    <w:pPr>
      <w:pStyle w:val="Footer"/>
      <w:jc w:val="right"/>
    </w:pPr>
    <w:r>
      <w:rPr>
        <w:noProof/>
        <w:lang w:val="en-GB" w:eastAsia="en-GB"/>
      </w:rPr>
      <w:drawing>
        <wp:anchor distT="0" distB="0" distL="114300" distR="114300" simplePos="0" relativeHeight="251656704" behindDoc="1" locked="0" layoutInCell="1" allowOverlap="1">
          <wp:simplePos x="0" y="0"/>
          <wp:positionH relativeFrom="page">
            <wp:posOffset>0</wp:posOffset>
          </wp:positionH>
          <wp:positionV relativeFrom="paragraph">
            <wp:posOffset>125730</wp:posOffset>
          </wp:positionV>
          <wp:extent cx="7543165" cy="523875"/>
          <wp:effectExtent l="0" t="0" r="635" b="9525"/>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5483" t="28641" r="17638" b="63100"/>
                  <a:stretch>
                    <a:fillRect/>
                  </a:stretch>
                </pic:blipFill>
                <pic:spPr bwMode="auto">
                  <a:xfrm>
                    <a:off x="0" y="0"/>
                    <a:ext cx="754316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Futura Lt BT" w:hAnsi="Futura Lt BT"/>
        <w:color w:val="038E9A"/>
        <w:sz w:val="20"/>
      </w:rPr>
      <w:t xml:space="preserve">Page </w:t>
    </w:r>
    <w:r w:rsidRPr="00B47FC3">
      <w:rPr>
        <w:rStyle w:val="PageNumber"/>
        <w:rFonts w:ascii="Futura Lt BT" w:hAnsi="Futura Lt BT"/>
        <w:color w:val="038E9A"/>
        <w:sz w:val="20"/>
      </w:rPr>
      <w:fldChar w:fldCharType="begin"/>
    </w:r>
    <w:r w:rsidRPr="00B47FC3">
      <w:rPr>
        <w:rStyle w:val="PageNumber"/>
        <w:rFonts w:ascii="Futura Lt BT" w:hAnsi="Futura Lt BT"/>
        <w:color w:val="038E9A"/>
        <w:sz w:val="20"/>
      </w:rPr>
      <w:instrText xml:space="preserve"> PAGE </w:instrText>
    </w:r>
    <w:r w:rsidRPr="00B47FC3">
      <w:rPr>
        <w:rStyle w:val="PageNumber"/>
        <w:rFonts w:ascii="Futura Lt BT" w:hAnsi="Futura Lt BT"/>
        <w:color w:val="038E9A"/>
        <w:sz w:val="20"/>
      </w:rPr>
      <w:fldChar w:fldCharType="separate"/>
    </w:r>
    <w:r w:rsidR="0010722A">
      <w:rPr>
        <w:rStyle w:val="PageNumber"/>
        <w:rFonts w:ascii="Futura Lt BT" w:hAnsi="Futura Lt BT"/>
        <w:noProof/>
        <w:color w:val="038E9A"/>
        <w:sz w:val="20"/>
      </w:rPr>
      <w:t>1</w:t>
    </w:r>
    <w:r w:rsidRPr="00B47FC3">
      <w:rPr>
        <w:rStyle w:val="PageNumber"/>
        <w:rFonts w:ascii="Futura Lt BT" w:hAnsi="Futura Lt BT"/>
        <w:color w:val="038E9A"/>
        <w:sz w:val="20"/>
      </w:rPr>
      <w:fldChar w:fldCharType="end"/>
    </w:r>
    <w:r>
      <w:rPr>
        <w:rStyle w:val="PageNumber"/>
        <w:rFonts w:ascii="Futura Lt BT" w:hAnsi="Futura Lt BT"/>
        <w:color w:val="038E9A"/>
        <w:sz w:val="20"/>
      </w:rPr>
      <w:t>/</w:t>
    </w:r>
    <w:fldSimple w:instr=" DOCPROPERTY  Pages  \* MERGEFORMAT ">
      <w:r w:rsidR="0010722A" w:rsidRPr="0010722A">
        <w:rPr>
          <w:rStyle w:val="PageNumber"/>
          <w:rFonts w:ascii="Futura Lt BT" w:hAnsi="Futura Lt BT"/>
          <w:color w:val="038E9A"/>
          <w:sz w:val="20"/>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5D" w:rsidRDefault="005B445D">
      <w:r>
        <w:separator/>
      </w:r>
    </w:p>
    <w:p w:rsidR="005B445D" w:rsidRDefault="005B445D"/>
  </w:footnote>
  <w:footnote w:type="continuationSeparator" w:id="0">
    <w:p w:rsidR="005B445D" w:rsidRDefault="005B445D">
      <w:r>
        <w:continuationSeparator/>
      </w:r>
    </w:p>
    <w:p w:rsidR="005B445D" w:rsidRDefault="005B445D"/>
  </w:footnote>
  <w:footnote w:id="1">
    <w:p w:rsidR="005B445D" w:rsidRDefault="005B445D">
      <w:pPr>
        <w:pStyle w:val="FootnoteText"/>
      </w:pPr>
      <w:r>
        <w:rPr>
          <w:rStyle w:val="FootnoteReference"/>
        </w:rPr>
        <w:footnoteRef/>
      </w:r>
      <w:r>
        <w:t xml:space="preserve"> </w:t>
      </w:r>
      <w:hyperlink r:id="rId1" w:history="1">
        <w:r w:rsidRPr="00D75CBD">
          <w:rPr>
            <w:rStyle w:val="Hyperlink"/>
            <w:sz w:val="20"/>
            <w:szCs w:val="20"/>
          </w:rPr>
          <w:t>http://eur-lex.europa.eu/legal-content/EN/TXT/?uri=CELEX%3A32009L0103</w:t>
        </w:r>
      </w:hyperlink>
      <w:r>
        <w:t xml:space="preserve"> </w:t>
      </w:r>
    </w:p>
  </w:footnote>
  <w:footnote w:id="2">
    <w:p w:rsidR="005B445D" w:rsidRDefault="005B445D">
      <w:pPr>
        <w:pStyle w:val="FootnoteText"/>
      </w:pPr>
      <w:r>
        <w:rPr>
          <w:rStyle w:val="FootnoteReference"/>
        </w:rPr>
        <w:footnoteRef/>
      </w:r>
      <w:r>
        <w:t xml:space="preserve"> </w:t>
      </w:r>
      <w:hyperlink r:id="rId2" w:history="1">
        <w:r w:rsidRPr="00883D31">
          <w:rPr>
            <w:rStyle w:val="Hyperlink"/>
            <w:sz w:val="20"/>
            <w:szCs w:val="20"/>
          </w:rPr>
          <w:t>http://curia.europa.eu/juris/liste.jsf?num=C-162/13#</w:t>
        </w:r>
      </w:hyperlink>
      <w:r>
        <w:t xml:space="preserve"> </w:t>
      </w:r>
    </w:p>
  </w:footnote>
  <w:footnote w:id="3">
    <w:p w:rsidR="005B445D" w:rsidRDefault="005B445D">
      <w:pPr>
        <w:pStyle w:val="FootnoteText"/>
      </w:pPr>
      <w:r>
        <w:rPr>
          <w:rStyle w:val="FootnoteReference"/>
        </w:rPr>
        <w:footnoteRef/>
      </w:r>
      <w:r>
        <w:t xml:space="preserve"> </w:t>
      </w:r>
      <w:r w:rsidRPr="001451D5">
        <w:t>It would be up to the Member States to implement the legislation and use the legislation (and any ECJ rulings) to define what vehicles are being referred to.</w:t>
      </w:r>
    </w:p>
  </w:footnote>
  <w:footnote w:id="4">
    <w:p w:rsidR="005B445D" w:rsidRDefault="005B445D" w:rsidP="00381E42">
      <w:pPr>
        <w:pStyle w:val="FootnoteText"/>
      </w:pPr>
      <w:r>
        <w:rPr>
          <w:rStyle w:val="FootnoteReference"/>
        </w:rPr>
        <w:footnoteRef/>
      </w:r>
      <w:r>
        <w:t xml:space="preserve"> </w:t>
      </w:r>
      <w:hyperlink r:id="rId3" w:history="1">
        <w:r w:rsidRPr="00D75CBD">
          <w:rPr>
            <w:rStyle w:val="Hyperlink"/>
            <w:sz w:val="20"/>
            <w:szCs w:val="20"/>
          </w:rPr>
          <w:t>https://ec.europa.eu/info/law/law-making-process/overview-law-making-process/evaluating-and-improving-existing-laws/reducing-burdens-and-simplifying-law/refit-making-eu-law-simpler-and-less-costly_en</w:t>
        </w:r>
      </w:hyperlink>
      <w:r>
        <w:t xml:space="preserve"> </w:t>
      </w:r>
    </w:p>
  </w:footnote>
  <w:footnote w:id="5">
    <w:p w:rsidR="005B445D" w:rsidRDefault="005B445D">
      <w:pPr>
        <w:pStyle w:val="FootnoteText"/>
      </w:pPr>
      <w:r>
        <w:rPr>
          <w:rStyle w:val="FootnoteReference"/>
        </w:rPr>
        <w:footnoteRef/>
      </w:r>
      <w:r>
        <w:t xml:space="preserve"> </w:t>
      </w:r>
      <w:hyperlink r:id="rId4" w:history="1">
        <w:r w:rsidRPr="00FD17C3">
          <w:rPr>
            <w:rStyle w:val="Hyperlink"/>
            <w:sz w:val="20"/>
            <w:szCs w:val="20"/>
          </w:rPr>
          <w:t>https://ec.europa.eu/info/law/better-regulation/initiative/39849/attachment/090166e5b3f48c10_cs</w:t>
        </w:r>
      </w:hyperlink>
      <w:r>
        <w:t xml:space="preserve"> </w:t>
      </w:r>
    </w:p>
  </w:footnote>
  <w:footnote w:id="6">
    <w:p w:rsidR="002424CC" w:rsidRDefault="002424CC">
      <w:pPr>
        <w:pStyle w:val="FootnoteText"/>
      </w:pPr>
      <w:r>
        <w:rPr>
          <w:rStyle w:val="FootnoteReference"/>
        </w:rPr>
        <w:footnoteRef/>
      </w:r>
      <w:r>
        <w:t xml:space="preserve"> </w:t>
      </w:r>
      <w:hyperlink r:id="rId5" w:history="1">
        <w:r w:rsidRPr="00BC7B80">
          <w:rPr>
            <w:rStyle w:val="Hyperlink"/>
            <w:sz w:val="20"/>
            <w:szCs w:val="20"/>
          </w:rPr>
          <w:t>http://eur-lex.europa.eu/legal-content/EN/TXT/?uri=CELEX:32013R0168</w:t>
        </w:r>
      </w:hyperlink>
      <w:r>
        <w:t xml:space="preserve"> </w:t>
      </w:r>
    </w:p>
  </w:footnote>
  <w:footnote w:id="7">
    <w:p w:rsidR="005B445D" w:rsidRDefault="005B445D">
      <w:pPr>
        <w:pStyle w:val="FootnoteText"/>
      </w:pPr>
      <w:r>
        <w:rPr>
          <w:rStyle w:val="FootnoteReference"/>
        </w:rPr>
        <w:footnoteRef/>
      </w:r>
      <w:r>
        <w:t xml:space="preserve"> Here we do not speak of the so-called ‘speed EPACs’ or any L-category vehicles which are type approved;</w:t>
      </w:r>
    </w:p>
  </w:footnote>
  <w:footnote w:id="8">
    <w:p w:rsidR="005B445D" w:rsidRDefault="005B445D" w:rsidP="00C73E0D">
      <w:pPr>
        <w:pStyle w:val="FootnoteText"/>
      </w:pPr>
      <w:r>
        <w:rPr>
          <w:rStyle w:val="FootnoteReference"/>
        </w:rPr>
        <w:footnoteRef/>
      </w:r>
      <w:hyperlink r:id="rId6" w:history="1">
        <w:r w:rsidRPr="00FD17C3">
          <w:rPr>
            <w:rStyle w:val="Hyperlink"/>
            <w:sz w:val="20"/>
            <w:szCs w:val="20"/>
          </w:rPr>
          <w:t>https://standards.cen.eu/dyn/www/f?p=204:32:0::::FSP_ORG_ID,FSP_LANG_ID:6314,25&amp;cs=15471628D918031F2386C2FFB70BED679</w:t>
        </w:r>
      </w:hyperlink>
      <w:r>
        <w:t xml:space="preserve"> </w:t>
      </w:r>
    </w:p>
    <w:p w:rsidR="005B445D" w:rsidRDefault="005B445D" w:rsidP="00C73E0D">
      <w:pPr>
        <w:pStyle w:val="FootnoteText"/>
      </w:pPr>
      <w:r>
        <w:t>We do not include so-called ‘speed EPACs’ in this document</w:t>
      </w:r>
    </w:p>
  </w:footnote>
  <w:footnote w:id="9">
    <w:p w:rsidR="005B445D" w:rsidRDefault="005B445D" w:rsidP="009F414B">
      <w:pPr>
        <w:pStyle w:val="FootnoteText"/>
      </w:pPr>
      <w:r>
        <w:rPr>
          <w:rStyle w:val="FootnoteReference"/>
        </w:rPr>
        <w:footnoteRef/>
      </w:r>
      <w:r>
        <w:t xml:space="preserve"> </w:t>
      </w:r>
      <w:hyperlink r:id="rId7" w:history="1">
        <w:r w:rsidRPr="00C437D8">
          <w:rPr>
            <w:rStyle w:val="Hyperlink"/>
            <w:sz w:val="20"/>
            <w:szCs w:val="20"/>
          </w:rPr>
          <w:t>http://eur-lex.europa.eu/legal-content/EN/TXT/?uri=CELEX:32013R0168</w:t>
        </w:r>
      </w:hyperlink>
      <w:r>
        <w:t xml:space="preserve"> </w:t>
      </w:r>
    </w:p>
  </w:footnote>
  <w:footnote w:id="10">
    <w:p w:rsidR="005B445D" w:rsidRDefault="005B445D" w:rsidP="009F414B">
      <w:pPr>
        <w:pStyle w:val="FootnoteText"/>
      </w:pPr>
      <w:r>
        <w:rPr>
          <w:rStyle w:val="FootnoteReference"/>
        </w:rPr>
        <w:footnoteRef/>
      </w:r>
      <w:r>
        <w:t xml:space="preserve"> </w:t>
      </w:r>
      <w:r w:rsidRPr="00E202EB">
        <w:t>eur-lex.europa.eu/legal-content/EN/TXT/PDF/?uri=CELEX:32006L0126&amp;from=EN</w:t>
      </w:r>
      <w:r>
        <w:t xml:space="preserve"> </w:t>
      </w:r>
    </w:p>
  </w:footnote>
  <w:footnote w:id="11">
    <w:p w:rsidR="005B445D" w:rsidRDefault="005B445D" w:rsidP="009F414B">
      <w:pPr>
        <w:pStyle w:val="FootnoteText"/>
      </w:pPr>
      <w:r>
        <w:rPr>
          <w:rStyle w:val="FootnoteReference"/>
        </w:rPr>
        <w:footnoteRef/>
      </w:r>
      <w:hyperlink r:id="rId8" w:history="1">
        <w:r w:rsidRPr="00C437D8">
          <w:rPr>
            <w:rStyle w:val="Hyperlink"/>
            <w:sz w:val="20"/>
            <w:szCs w:val="20"/>
          </w:rPr>
          <w:t>https://standards.cen.eu/dyn/www/f?p=204:32:0::::FSP_ORG_ID,FSP_LANG_ID:6314,25&amp;cs=15471628D918031F2386C2FFB70BED679</w:t>
        </w:r>
      </w:hyperlink>
      <w:r>
        <w:t xml:space="preserve"> </w:t>
      </w:r>
    </w:p>
  </w:footnote>
  <w:footnote w:id="12">
    <w:p w:rsidR="005B445D" w:rsidRDefault="005B445D">
      <w:pPr>
        <w:pStyle w:val="FootnoteText"/>
      </w:pPr>
      <w:r>
        <w:rPr>
          <w:rStyle w:val="FootnoteReference"/>
        </w:rPr>
        <w:footnoteRef/>
      </w:r>
      <w:r>
        <w:t xml:space="preserve"> </w:t>
      </w:r>
      <w:hyperlink r:id="rId9" w:history="1">
        <w:r w:rsidRPr="00667ADE">
          <w:rPr>
            <w:rStyle w:val="Hyperlink"/>
            <w:sz w:val="20"/>
            <w:szCs w:val="20"/>
          </w:rPr>
          <w:t>https://www.munichre.com/topics-online/en/2012/02/e-bikes</w:t>
        </w:r>
      </w:hyperlink>
      <w:r>
        <w:t xml:space="preserve"> </w:t>
      </w:r>
    </w:p>
  </w:footnote>
  <w:footnote w:id="13">
    <w:p w:rsidR="005B445D" w:rsidRDefault="005B445D">
      <w:pPr>
        <w:pStyle w:val="FootnoteText"/>
      </w:pPr>
      <w:r>
        <w:rPr>
          <w:rStyle w:val="FootnoteReference"/>
        </w:rPr>
        <w:footnoteRef/>
      </w:r>
      <w:r>
        <w:t xml:space="preserve"> Two examples that we know of that do not include Malta and Northern Ireland</w:t>
      </w:r>
      <w:r w:rsidR="002424CC">
        <w:t>, this is often due to not understanding the power and use of the bikes</w:t>
      </w:r>
    </w:p>
  </w:footnote>
  <w:footnote w:id="14">
    <w:p w:rsidR="002424CC" w:rsidRDefault="002424CC" w:rsidP="002424CC">
      <w:pPr>
        <w:pStyle w:val="FootnoteText"/>
      </w:pPr>
      <w:r>
        <w:rPr>
          <w:rStyle w:val="FootnoteReference"/>
        </w:rPr>
        <w:footnoteRef/>
      </w:r>
      <w:r>
        <w:t xml:space="preserve"> </w:t>
      </w:r>
      <w:hyperlink r:id="rId10" w:history="1">
        <w:r w:rsidRPr="00C437D8">
          <w:rPr>
            <w:rStyle w:val="Hyperlink"/>
            <w:sz w:val="20"/>
            <w:szCs w:val="20"/>
          </w:rPr>
          <w:t>https://ec.europa.eu/info/law/better-regulation/initiatives/ares-2017-3714481_en</w:t>
        </w:r>
      </w:hyperlink>
      <w:r>
        <w:rPr>
          <w:rStyle w:val="Hyperlink"/>
          <w:sz w:val="20"/>
          <w:szCs w:val="20"/>
        </w:rPr>
        <w:t xml:space="preserve"> </w:t>
      </w:r>
    </w:p>
  </w:footnote>
  <w:footnote w:id="15">
    <w:p w:rsidR="005B445D" w:rsidRDefault="005B445D" w:rsidP="00336DC1">
      <w:pPr>
        <w:pStyle w:val="FootnoteText"/>
      </w:pPr>
      <w:r>
        <w:rPr>
          <w:rStyle w:val="FootnoteReference"/>
        </w:rPr>
        <w:footnoteRef/>
      </w:r>
      <w:r>
        <w:t xml:space="preserve"> </w:t>
      </w:r>
      <w:r w:rsidRPr="00102427">
        <w:t xml:space="preserve">Marilyn Johnson, Geoff Rose, Extending life on the bike: Electric bike use by older Australians, Journal of Transport &amp; Health, Volume 2, Issue 2, 2015, Pages 276-283, ISSN 2214-1405, </w:t>
      </w:r>
    </w:p>
    <w:p w:rsidR="005B445D" w:rsidRDefault="005B445D" w:rsidP="00336DC1">
      <w:pPr>
        <w:pStyle w:val="FootnoteText"/>
      </w:pPr>
      <w:r w:rsidRPr="00B15FC6">
        <w:t>Tim Jones, Lucas Harms, Eva Heinen, Motives, perceptions and experiences of electric bicycle owners and implications for health, wellbeing and mobility, Journal of Transport Geography, Volume 53, 2016, Pages 41-49, ISSN 0966-6923</w:t>
      </w:r>
    </w:p>
  </w:footnote>
  <w:footnote w:id="16">
    <w:p w:rsidR="005B445D" w:rsidRDefault="005B445D" w:rsidP="00336DC1">
      <w:pPr>
        <w:pStyle w:val="FootnoteText"/>
      </w:pPr>
      <w:r>
        <w:rPr>
          <w:rStyle w:val="FootnoteReference"/>
        </w:rPr>
        <w:footnoteRef/>
      </w:r>
      <w:r>
        <w:t xml:space="preserve"> Half of trips in Oslo are under 50 km </w:t>
      </w:r>
      <w:r w:rsidRPr="002E408D">
        <w:t>Vågane, L., 2006. Bilhold og bilbruk i Norge. Rapport 856. Tra</w:t>
      </w:r>
      <w:r>
        <w:t>nsportøkonomisk institutt, Oslo</w:t>
      </w:r>
    </w:p>
    <w:p w:rsidR="005B445D" w:rsidRDefault="005B445D" w:rsidP="00336DC1">
      <w:pPr>
        <w:pStyle w:val="FootnoteText"/>
        <w:rPr>
          <w:rStyle w:val="Hyperlink"/>
          <w:sz w:val="20"/>
          <w:szCs w:val="20"/>
        </w:rPr>
      </w:pPr>
      <w:r>
        <w:t>In the UK around 56%</w:t>
      </w:r>
      <w:r w:rsidRPr="007B5680">
        <w:t xml:space="preserve"> of all car journeys are under 8 kilometres</w:t>
      </w:r>
      <w:r>
        <w:t xml:space="preserve"> </w:t>
      </w:r>
      <w:hyperlink r:id="rId11" w:history="1">
        <w:r w:rsidRPr="0028146F">
          <w:rPr>
            <w:rStyle w:val="Hyperlink"/>
            <w:sz w:val="20"/>
            <w:szCs w:val="20"/>
          </w:rPr>
          <w:t>https://www.gov.uk/government/statistics/transport-statistics-great-britain-2016</w:t>
        </w:r>
      </w:hyperlink>
    </w:p>
    <w:p w:rsidR="005B445D" w:rsidRPr="002E408D" w:rsidRDefault="005B445D" w:rsidP="00336DC1">
      <w:pPr>
        <w:pStyle w:val="FootnoteText"/>
        <w:rPr>
          <w:u w:val="single"/>
        </w:rPr>
      </w:pPr>
      <w:r>
        <w:t xml:space="preserve">In Ireland around 75% are under 8 km </w:t>
      </w:r>
      <w:hyperlink r:id="rId12" w:history="1">
        <w:r w:rsidRPr="0028146F">
          <w:rPr>
            <w:rStyle w:val="Hyperlink"/>
            <w:sz w:val="20"/>
            <w:szCs w:val="20"/>
          </w:rPr>
          <w:t>http://www.cso.ie/en/releasesandpublications/ep/p-nts/nts2016/hwt/</w:t>
        </w:r>
      </w:hyperlink>
      <w:r>
        <w:rPr>
          <w:rStyle w:val="Hyperlink"/>
          <w:sz w:val="20"/>
          <w:szCs w:val="20"/>
        </w:rPr>
        <w:t xml:space="preserve"> </w:t>
      </w:r>
      <w:r>
        <w:t xml:space="preserve">Nantes 50% are under 5 km </w:t>
      </w:r>
      <w:hyperlink r:id="rId13" w:history="1">
        <w:r w:rsidRPr="00C271AC">
          <w:rPr>
            <w:rStyle w:val="Hyperlink"/>
            <w:sz w:val="20"/>
            <w:szCs w:val="20"/>
          </w:rPr>
          <w:t>http://www.ec.europa.eu/environment/europeangreencapital/wp-content/uploads/2011/05/EGCNantesUKChap2-F.pdf</w:t>
        </w:r>
      </w:hyperlink>
    </w:p>
  </w:footnote>
  <w:footnote w:id="17">
    <w:p w:rsidR="005B445D" w:rsidRDefault="005B445D" w:rsidP="00336DC1">
      <w:pPr>
        <w:pStyle w:val="FootnoteText"/>
      </w:pPr>
      <w:r>
        <w:rPr>
          <w:rStyle w:val="FootnoteReference"/>
        </w:rPr>
        <w:footnoteRef/>
      </w:r>
      <w:r>
        <w:t xml:space="preserve"> </w:t>
      </w:r>
      <w:hyperlink r:id="rId14" w:history="1">
        <w:r w:rsidRPr="00C56D6D">
          <w:rPr>
            <w:rStyle w:val="Hyperlink"/>
            <w:sz w:val="20"/>
            <w:szCs w:val="20"/>
          </w:rPr>
          <w:t>http://www.conebi.eu/?wpdmdl=1717</w:t>
        </w:r>
      </w:hyperlink>
      <w:r>
        <w:t xml:space="preserve"> </w:t>
      </w:r>
    </w:p>
  </w:footnote>
  <w:footnote w:id="18">
    <w:p w:rsidR="002424CC" w:rsidRDefault="002424CC" w:rsidP="002424CC">
      <w:pPr>
        <w:pStyle w:val="FootnoteText"/>
      </w:pPr>
      <w:r>
        <w:rPr>
          <w:rStyle w:val="FootnoteReference"/>
        </w:rPr>
        <w:footnoteRef/>
      </w:r>
      <w:r>
        <w:t xml:space="preserve"> Conebi European Bicycle Market2017 edition </w:t>
      </w:r>
      <w:hyperlink r:id="rId15" w:history="1">
        <w:r w:rsidRPr="00C56D6D">
          <w:rPr>
            <w:rStyle w:val="Hyperlink"/>
            <w:sz w:val="20"/>
            <w:szCs w:val="20"/>
          </w:rPr>
          <w:t>http://www.conebi.eu/?wpdmdl=1717</w:t>
        </w:r>
      </w:hyperlink>
      <w:r>
        <w:rPr>
          <w:rStyle w:val="Hyperlink"/>
          <w:sz w:val="20"/>
          <w:szCs w:val="20"/>
        </w:rPr>
        <w:t xml:space="preserve"> </w:t>
      </w:r>
    </w:p>
  </w:footnote>
  <w:footnote w:id="19">
    <w:p w:rsidR="005B445D" w:rsidRDefault="005B445D" w:rsidP="00A645C3">
      <w:pPr>
        <w:pStyle w:val="FootnoteText"/>
      </w:pPr>
      <w:r>
        <w:rPr>
          <w:rStyle w:val="FootnoteReference"/>
        </w:rPr>
        <w:footnoteRef/>
      </w:r>
      <w:r>
        <w:t xml:space="preserve"> </w:t>
      </w:r>
      <w:hyperlink r:id="rId16" w:history="1">
        <w:r w:rsidRPr="00FD17C3">
          <w:rPr>
            <w:rStyle w:val="Hyperlink"/>
            <w:sz w:val="20"/>
            <w:szCs w:val="20"/>
          </w:rPr>
          <w:t>https://ecf.com/sites/ecf.com/files/ECF_CO2_WEB.pdf</w:t>
        </w:r>
      </w:hyperlink>
      <w:r>
        <w:t xml:space="preserve"> </w:t>
      </w:r>
    </w:p>
  </w:footnote>
  <w:footnote w:id="20">
    <w:p w:rsidR="005B445D" w:rsidRDefault="005B445D" w:rsidP="00A645C3">
      <w:pPr>
        <w:pStyle w:val="FootnoteText"/>
      </w:pPr>
      <w:r>
        <w:rPr>
          <w:rStyle w:val="FootnoteReference"/>
        </w:rPr>
        <w:footnoteRef/>
      </w:r>
      <w:r>
        <w:t xml:space="preserve"> Intensity of exercise </w:t>
      </w:r>
      <w:hyperlink r:id="rId17" w:history="1">
        <w:r w:rsidRPr="00FD17C3">
          <w:rPr>
            <w:rStyle w:val="Hyperlink"/>
            <w:sz w:val="20"/>
            <w:szCs w:val="20"/>
          </w:rPr>
          <w:t>https://en.wikipedia.org/wiki/Metabolic_equivalent</w:t>
        </w:r>
      </w:hyperlink>
      <w:r>
        <w:t xml:space="preserve"> </w:t>
      </w:r>
    </w:p>
  </w:footnote>
  <w:footnote w:id="21">
    <w:p w:rsidR="005B445D" w:rsidRDefault="005B445D" w:rsidP="00A645C3">
      <w:pPr>
        <w:pStyle w:val="FootnoteText"/>
      </w:pPr>
      <w:r>
        <w:rPr>
          <w:rStyle w:val="FootnoteReference"/>
        </w:rPr>
        <w:footnoteRef/>
      </w:r>
      <w:r>
        <w:t xml:space="preserve"> </w:t>
      </w:r>
      <w:hyperlink r:id="rId18" w:history="1">
        <w:r w:rsidRPr="00FD17C3">
          <w:rPr>
            <w:rStyle w:val="Hyperlink"/>
            <w:sz w:val="20"/>
            <w:szCs w:val="20"/>
          </w:rPr>
          <w:t>http://www.smart-ebikes.co.uk/</w:t>
        </w:r>
      </w:hyperlink>
      <w:r>
        <w:t xml:space="preserve"> </w:t>
      </w:r>
    </w:p>
  </w:footnote>
  <w:footnote w:id="22">
    <w:p w:rsidR="005B445D" w:rsidRPr="00A645C3" w:rsidRDefault="005B445D" w:rsidP="00A645C3">
      <w:pPr>
        <w:pStyle w:val="FootnoteText"/>
        <w:rPr>
          <w:rFonts w:cs="Arial"/>
          <w:color w:val="auto"/>
          <w:sz w:val="15"/>
          <w:szCs w:val="15"/>
          <w:lang w:eastAsia="en-GB"/>
        </w:rPr>
      </w:pPr>
      <w:r>
        <w:rPr>
          <w:rStyle w:val="FootnoteReference"/>
        </w:rPr>
        <w:footnoteRef/>
      </w:r>
      <w:r>
        <w:t xml:space="preserve"> TNO</w:t>
      </w:r>
      <w:r w:rsidRPr="00BC7490">
        <w:t>, Elek</w:t>
      </w:r>
      <w:r>
        <w:t>trisch fietsen, Marktonderzoek e</w:t>
      </w:r>
      <w:r w:rsidRPr="00BC7490">
        <w:t xml:space="preserve">n </w:t>
      </w:r>
      <w:r>
        <w:t>verkenning t</w:t>
      </w:r>
      <w:r w:rsidRPr="00BC7490">
        <w:t>oekomstmogelijkheden, 2008</w:t>
      </w:r>
      <w:r w:rsidRPr="00BC7490">
        <w:rPr>
          <w:rFonts w:cs="Arial"/>
          <w:color w:val="auto"/>
          <w:sz w:val="15"/>
          <w:szCs w:val="15"/>
          <w:lang w:eastAsia="en-GB"/>
        </w:rPr>
        <w:t xml:space="preserve"> </w:t>
      </w:r>
    </w:p>
  </w:footnote>
  <w:footnote w:id="23">
    <w:p w:rsidR="005B445D" w:rsidRDefault="005B445D" w:rsidP="00A645C3">
      <w:pPr>
        <w:pStyle w:val="FootnoteText"/>
      </w:pPr>
      <w:r>
        <w:rPr>
          <w:rStyle w:val="FootnoteReference"/>
        </w:rPr>
        <w:footnoteRef/>
      </w:r>
      <w:r>
        <w:t xml:space="preserve"> </w:t>
      </w:r>
      <w:hyperlink r:id="rId19" w:history="1">
        <w:r w:rsidRPr="00FD17C3">
          <w:rPr>
            <w:rStyle w:val="Hyperlink"/>
            <w:sz w:val="20"/>
            <w:szCs w:val="20"/>
          </w:rPr>
          <w:t>https://ecf.com/sites/ecf.com/files/ECF_CO2_WEB.pdf</w:t>
        </w:r>
      </w:hyperlink>
      <w:r>
        <w:t xml:space="preserve"> </w:t>
      </w:r>
    </w:p>
  </w:footnote>
  <w:footnote w:id="24">
    <w:p w:rsidR="005B445D" w:rsidRDefault="005B445D" w:rsidP="00A645C3">
      <w:pPr>
        <w:pStyle w:val="FootnoteText"/>
      </w:pPr>
      <w:r>
        <w:rPr>
          <w:rStyle w:val="FootnoteReference"/>
        </w:rPr>
        <w:footnoteRef/>
      </w:r>
      <w:r>
        <w:t xml:space="preserve"> </w:t>
      </w:r>
      <w:hyperlink r:id="rId20" w:history="1">
        <w:r w:rsidRPr="00FD17C3">
          <w:rPr>
            <w:rStyle w:val="Hyperlink"/>
            <w:sz w:val="20"/>
            <w:szCs w:val="20"/>
          </w:rPr>
          <w:t>http://www.news.admin.ch/NSBSubscriber/message/attachments/36765.pdf</w:t>
        </w:r>
      </w:hyperlink>
      <w:r>
        <w:t xml:space="preserve"> </w:t>
      </w:r>
      <w:r w:rsidRPr="009E79D4">
        <w:t>The average displacement in the study were made by the car (an average of almost 1,000 km per person), public transport (570 km) and "normal" bicycle (420 km)</w:t>
      </w:r>
    </w:p>
  </w:footnote>
  <w:footnote w:id="25">
    <w:p w:rsidR="005B445D" w:rsidRDefault="005B445D">
      <w:pPr>
        <w:pStyle w:val="FootnoteText"/>
      </w:pPr>
      <w:r>
        <w:rPr>
          <w:rStyle w:val="FootnoteReference"/>
        </w:rPr>
        <w:footnoteRef/>
      </w:r>
      <w:r>
        <w:t xml:space="preserve">  </w:t>
      </w:r>
      <w:hyperlink r:id="rId21" w:history="1">
        <w:r w:rsidRPr="00491E78">
          <w:rPr>
            <w:rStyle w:val="Hyperlink"/>
            <w:sz w:val="20"/>
            <w:szCs w:val="20"/>
          </w:rPr>
          <w:t>http://www.tandfonline.com/doi/full/10.1080/15568318.2017.1302526</w:t>
        </w:r>
      </w:hyperlink>
      <w:r>
        <w:t xml:space="preserve"> </w:t>
      </w:r>
    </w:p>
  </w:footnote>
  <w:footnote w:id="26">
    <w:p w:rsidR="005B445D" w:rsidRDefault="005B445D">
      <w:pPr>
        <w:pStyle w:val="FootnoteText"/>
      </w:pPr>
      <w:r>
        <w:rPr>
          <w:rStyle w:val="FootnoteReference"/>
        </w:rPr>
        <w:footnoteRef/>
      </w:r>
      <w:r>
        <w:t xml:space="preserve"> </w:t>
      </w:r>
      <w:hyperlink r:id="rId22" w:history="1">
        <w:r w:rsidRPr="00491E78">
          <w:rPr>
            <w:rStyle w:val="Hyperlink"/>
            <w:sz w:val="20"/>
            <w:szCs w:val="20"/>
          </w:rPr>
          <w:t>http://www.sciencedirect.com/science/article/pii/S0968090X16000747</w:t>
        </w:r>
      </w:hyperlink>
      <w:r>
        <w:t xml:space="preserve"> </w:t>
      </w:r>
    </w:p>
  </w:footnote>
  <w:footnote w:id="27">
    <w:p w:rsidR="001A4714" w:rsidRDefault="001A4714" w:rsidP="001A4714">
      <w:pPr>
        <w:pStyle w:val="FootnoteText"/>
      </w:pPr>
      <w:r>
        <w:rPr>
          <w:rStyle w:val="FootnoteReference"/>
        </w:rPr>
        <w:footnoteRef/>
      </w:r>
      <w:r>
        <w:t xml:space="preserve"> </w:t>
      </w:r>
      <w:hyperlink r:id="rId23" w:history="1">
        <w:r w:rsidRPr="00FD17C3">
          <w:rPr>
            <w:rStyle w:val="Hyperlink"/>
            <w:sz w:val="20"/>
            <w:szCs w:val="20"/>
          </w:rPr>
          <w:t>http://www.pedegoelectricbikes.com/wp-content/uploads/2016/08/</w:t>
        </w:r>
        <w:r>
          <w:rPr>
            <w:rStyle w:val="Hyperlink"/>
            <w:sz w:val="20"/>
            <w:szCs w:val="20"/>
          </w:rPr>
          <w:t>EPAC</w:t>
        </w:r>
        <w:r w:rsidRPr="00FD17C3">
          <w:rPr>
            <w:rStyle w:val="Hyperlink"/>
            <w:sz w:val="20"/>
            <w:szCs w:val="20"/>
          </w:rPr>
          <w:t>-Health-Study.pdf</w:t>
        </w:r>
      </w:hyperlink>
      <w:r>
        <w:t xml:space="preserve"> </w:t>
      </w:r>
    </w:p>
  </w:footnote>
  <w:footnote w:id="28">
    <w:p w:rsidR="005B445D" w:rsidRDefault="005B445D">
      <w:pPr>
        <w:pStyle w:val="FootnoteText"/>
      </w:pPr>
      <w:r>
        <w:rPr>
          <w:rStyle w:val="FootnoteReference"/>
        </w:rPr>
        <w:footnoteRef/>
      </w:r>
      <w:r>
        <w:t xml:space="preserve"> There is a list of resources on cycling health benefits on this page under Benefits Health </w:t>
      </w:r>
      <w:hyperlink r:id="rId24" w:history="1">
        <w:r w:rsidRPr="00491E78">
          <w:rPr>
            <w:rStyle w:val="Hyperlink"/>
            <w:sz w:val="20"/>
            <w:szCs w:val="20"/>
          </w:rPr>
          <w:t>https://ecf.com/resources/cycling-facts-and-figures</w:t>
        </w:r>
      </w:hyperlink>
      <w:r>
        <w:t xml:space="preserve"> </w:t>
      </w:r>
    </w:p>
  </w:footnote>
  <w:footnote w:id="29">
    <w:p w:rsidR="005B445D" w:rsidRDefault="005B445D" w:rsidP="00167219">
      <w:pPr>
        <w:pStyle w:val="FootnoteText"/>
      </w:pPr>
      <w:r>
        <w:rPr>
          <w:rStyle w:val="FootnoteReference"/>
        </w:rPr>
        <w:footnoteRef/>
      </w:r>
      <w:r>
        <w:t xml:space="preserve"> documents available on request </w:t>
      </w:r>
      <w:hyperlink r:id="rId25" w:history="1">
        <w:r w:rsidRPr="00491E78">
          <w:rPr>
            <w:rStyle w:val="Hyperlink"/>
            <w:sz w:val="20"/>
            <w:szCs w:val="20"/>
          </w:rPr>
          <w:t>c.woolsgrove@ecf.com</w:t>
        </w:r>
      </w:hyperlink>
      <w:r>
        <w:t xml:space="preserve"> </w:t>
      </w:r>
    </w:p>
  </w:footnote>
  <w:footnote w:id="30">
    <w:p w:rsidR="005B445D" w:rsidRDefault="005B445D" w:rsidP="00167219">
      <w:pPr>
        <w:pStyle w:val="FootnoteText"/>
      </w:pPr>
      <w:r>
        <w:rPr>
          <w:rStyle w:val="FootnoteReference"/>
        </w:rPr>
        <w:footnoteRef/>
      </w:r>
      <w:r>
        <w:t xml:space="preserve"> </w:t>
      </w:r>
      <w:hyperlink r:id="rId26" w:history="1">
        <w:r w:rsidRPr="00FD17C3">
          <w:rPr>
            <w:rStyle w:val="Hyperlink"/>
            <w:sz w:val="20"/>
            <w:szCs w:val="20"/>
          </w:rPr>
          <w:t>http://www.belfasttelegraph.co.uk/news/northern-ireland/halfords-suspends-sale-of-ebikes-in-northern-ireland-due-to-confusing-legislation-36011569.html</w:t>
        </w:r>
      </w:hyperlink>
      <w:r>
        <w:t xml:space="preserve"> </w:t>
      </w:r>
    </w:p>
  </w:footnote>
  <w:footnote w:id="31">
    <w:p w:rsidR="005B445D" w:rsidRDefault="005B445D" w:rsidP="005C5D2F">
      <w:pPr>
        <w:pStyle w:val="FootnoteText"/>
      </w:pPr>
      <w:r>
        <w:rPr>
          <w:rStyle w:val="FootnoteReference"/>
        </w:rPr>
        <w:footnoteRef/>
      </w:r>
      <w:r>
        <w:t xml:space="preserve"> </w:t>
      </w:r>
      <w:hyperlink r:id="rId27" w:anchor="340" w:history="1">
        <w:r w:rsidRPr="00491E78">
          <w:rPr>
            <w:rStyle w:val="Hyperlink"/>
            <w:sz w:val="20"/>
            <w:szCs w:val="20"/>
          </w:rPr>
          <w:t>http://www.cyclehelmets.org/1020.html#340</w:t>
        </w:r>
      </w:hyperlink>
      <w:r>
        <w:t xml:space="preserve"> </w:t>
      </w:r>
    </w:p>
    <w:p w:rsidR="005B445D" w:rsidRDefault="005B445D" w:rsidP="005C5D2F">
      <w:pPr>
        <w:pStyle w:val="FootnoteText"/>
      </w:pPr>
      <w:r>
        <w:t xml:space="preserve">Cameron M, Heiman L, Neiger D, 1992. </w:t>
      </w:r>
      <w:hyperlink r:id="rId28" w:tgtFrame="_blank" w:history="1">
        <w:r>
          <w:rPr>
            <w:rStyle w:val="Hyperlink"/>
          </w:rPr>
          <w:t xml:space="preserve">Evaluation of the Bicycle Helmet Wearing Law in Victoria During its First 12 Months. </w:t>
        </w:r>
      </w:hyperlink>
      <w:r>
        <w:t xml:space="preserve">Monash University Accident Research Centre Report 32 </w:t>
      </w:r>
    </w:p>
    <w:p w:rsidR="005B445D" w:rsidRDefault="005B445D" w:rsidP="005C5D2F">
      <w:pPr>
        <w:pStyle w:val="FootnoteText"/>
      </w:pPr>
      <w:r>
        <w:t xml:space="preserve">Gillham C, Rissel C, 2012. </w:t>
      </w:r>
      <w:hyperlink r:id="rId29" w:tgtFrame="_blank" w:history="1">
        <w:r>
          <w:rPr>
            <w:rStyle w:val="Hyperlink"/>
          </w:rPr>
          <w:t xml:space="preserve">Australian per capita cycling participation in 1985/6 and 2011. </w:t>
        </w:r>
      </w:hyperlink>
      <w:r>
        <w:t xml:space="preserve">World Transport Policy &amp; Practice 2012(May);18(3):5-10 </w:t>
      </w:r>
    </w:p>
  </w:footnote>
  <w:footnote w:id="32">
    <w:p w:rsidR="005B445D" w:rsidRDefault="005B445D">
      <w:pPr>
        <w:pStyle w:val="FootnoteText"/>
      </w:pPr>
      <w:r>
        <w:rPr>
          <w:rStyle w:val="FootnoteReference"/>
        </w:rPr>
        <w:footnoteRef/>
      </w:r>
      <w:r>
        <w:t xml:space="preserve"> </w:t>
      </w:r>
      <w:hyperlink r:id="rId30" w:history="1">
        <w:r w:rsidRPr="00491E78">
          <w:rPr>
            <w:rStyle w:val="Hyperlink"/>
            <w:sz w:val="20"/>
            <w:szCs w:val="20"/>
          </w:rPr>
          <w:t>http://www.cyclehelmets.org/1103.html</w:t>
        </w:r>
      </w:hyperlink>
      <w:r>
        <w:t xml:space="preserve"> </w:t>
      </w:r>
      <w:hyperlink r:id="rId31" w:history="1">
        <w:r w:rsidRPr="00491E78">
          <w:rPr>
            <w:rStyle w:val="Hyperlink"/>
            <w:sz w:val="20"/>
            <w:szCs w:val="20"/>
          </w:rPr>
          <w:t>http://www.cyclehelmets.org/1032.html</w:t>
        </w:r>
      </w:hyperlink>
      <w:r>
        <w:t xml:space="preserve"> </w:t>
      </w:r>
    </w:p>
  </w:footnote>
  <w:footnote w:id="33">
    <w:p w:rsidR="005B445D" w:rsidRDefault="005B445D" w:rsidP="00237BB2">
      <w:pPr>
        <w:pStyle w:val="FootnoteText"/>
      </w:pPr>
      <w:r>
        <w:rPr>
          <w:rStyle w:val="FootnoteReference"/>
        </w:rPr>
        <w:footnoteRef/>
      </w:r>
      <w:r>
        <w:t xml:space="preserve"> </w:t>
      </w:r>
      <w:hyperlink r:id="rId32" w:history="1">
        <w:r w:rsidRPr="0028146F">
          <w:rPr>
            <w:rStyle w:val="Hyperlink"/>
            <w:sz w:val="20"/>
            <w:szCs w:val="20"/>
          </w:rPr>
          <w:t>http://www.who.int/violence_injury_prevention/road_traffic/activities/roadsafety_training_manual_unit_2.pdf</w:t>
        </w:r>
      </w:hyperlink>
      <w:r>
        <w:t xml:space="preserve"> </w:t>
      </w:r>
    </w:p>
  </w:footnote>
  <w:footnote w:id="34">
    <w:p w:rsidR="005B445D" w:rsidRDefault="005B445D">
      <w:pPr>
        <w:pStyle w:val="FootnoteText"/>
      </w:pPr>
      <w:r>
        <w:rPr>
          <w:rStyle w:val="FootnoteReference"/>
        </w:rPr>
        <w:footnoteRef/>
      </w:r>
      <w:r>
        <w:t xml:space="preserve"> </w:t>
      </w:r>
      <w:r w:rsidRPr="00257F2B">
        <w:t xml:space="preserve">De Jong, Piet, the Health Impact of Mandatory Bicycle Helmet Laws (February 24, 2010). Risk Analysis, 2012. Available at SSRN: https://ssrn.com/abstract=1368064 or </w:t>
      </w:r>
      <w:hyperlink r:id="rId33" w:history="1">
        <w:r w:rsidRPr="0061759B">
          <w:rPr>
            <w:rStyle w:val="Hyperlink"/>
            <w:sz w:val="20"/>
            <w:szCs w:val="20"/>
          </w:rPr>
          <w:t>http://dx.doi.org/10.2139/ssrn.1368064</w:t>
        </w:r>
      </w:hyperlink>
      <w:r>
        <w:t xml:space="preserve"> </w:t>
      </w:r>
    </w:p>
  </w:footnote>
  <w:footnote w:id="35">
    <w:p w:rsidR="005B445D" w:rsidRDefault="005B445D" w:rsidP="004873DF">
      <w:pPr>
        <w:pStyle w:val="FootnoteText"/>
      </w:pPr>
      <w:r>
        <w:rPr>
          <w:rStyle w:val="FootnoteReference"/>
        </w:rPr>
        <w:footnoteRef/>
      </w:r>
      <w:r>
        <w:t xml:space="preserve"> </w:t>
      </w:r>
      <w:hyperlink r:id="rId34" w:history="1">
        <w:r w:rsidRPr="007B5680">
          <w:rPr>
            <w:rStyle w:val="Hyperlink"/>
            <w:rFonts w:ascii="FuturaTEE" w:hAnsi="FuturaTEE"/>
            <w:sz w:val="24"/>
          </w:rPr>
          <w:t>https://www.swov.nl/en/facts-figures/factsheet/</w:t>
        </w:r>
        <w:r>
          <w:rPr>
            <w:rStyle w:val="Hyperlink"/>
            <w:rFonts w:ascii="FuturaTEE" w:hAnsi="FuturaTEE"/>
            <w:sz w:val="24"/>
          </w:rPr>
          <w:t>EPAC</w:t>
        </w:r>
        <w:r w:rsidRPr="007B5680">
          <w:rPr>
            <w:rStyle w:val="Hyperlink"/>
            <w:rFonts w:ascii="FuturaTEE" w:hAnsi="FuturaTEE"/>
            <w:sz w:val="24"/>
          </w:rPr>
          <w:t>s-and-speed-</w:t>
        </w:r>
        <w:r>
          <w:rPr>
            <w:rStyle w:val="Hyperlink"/>
            <w:rFonts w:ascii="FuturaTEE" w:hAnsi="FuturaTEE"/>
            <w:sz w:val="24"/>
          </w:rPr>
          <w:t>EPAC</w:t>
        </w:r>
        <w:r w:rsidRPr="007B5680">
          <w:rPr>
            <w:rStyle w:val="Hyperlink"/>
            <w:rFonts w:ascii="FuturaTEE" w:hAnsi="FuturaTEE"/>
            <w:sz w:val="24"/>
          </w:rPr>
          <w:t>s</w:t>
        </w:r>
      </w:hyperlink>
      <w:r>
        <w:rPr>
          <w:rStyle w:val="Hyperlink"/>
          <w:rFonts w:ascii="FuturaTEE" w:hAnsi="FuturaTEE"/>
          <w:sz w:val="24"/>
        </w:rPr>
        <w:t xml:space="preserve"> </w:t>
      </w:r>
    </w:p>
  </w:footnote>
  <w:footnote w:id="36">
    <w:p w:rsidR="005B445D" w:rsidRDefault="005B445D">
      <w:pPr>
        <w:pStyle w:val="FootnoteText"/>
      </w:pPr>
      <w:r>
        <w:rPr>
          <w:rStyle w:val="FootnoteReference"/>
        </w:rPr>
        <w:footnoteRef/>
      </w:r>
      <w:r>
        <w:t xml:space="preserve"> However it should be noted that SWOV had a very different opinion of the faster</w:t>
      </w:r>
      <w:r w:rsidR="00A87703">
        <w:t xml:space="preserve"> type approved ‘speed pedelecs’. These faster vehicles are classified as motor vehicles, and have higher risk and we would agree with this assessment</w:t>
      </w:r>
    </w:p>
  </w:footnote>
  <w:footnote w:id="37">
    <w:p w:rsidR="005B445D" w:rsidRDefault="005B445D" w:rsidP="00DA378F">
      <w:pPr>
        <w:pStyle w:val="FootnoteText"/>
      </w:pPr>
      <w:r>
        <w:rPr>
          <w:rStyle w:val="FootnoteReference"/>
        </w:rPr>
        <w:footnoteRef/>
      </w:r>
      <w:r>
        <w:t xml:space="preserve"> Data from DESTATIS. All data available from ECF on request </w:t>
      </w:r>
    </w:p>
  </w:footnote>
  <w:footnote w:id="38">
    <w:p w:rsidR="001A4714" w:rsidRDefault="001A4714">
      <w:pPr>
        <w:pStyle w:val="FootnoteText"/>
      </w:pPr>
      <w:r>
        <w:rPr>
          <w:rStyle w:val="FootnoteReference"/>
        </w:rPr>
        <w:footnoteRef/>
      </w:r>
      <w:r>
        <w:t xml:space="preserve"> </w:t>
      </w:r>
      <w:r w:rsidRPr="001A4714">
        <w:t xml:space="preserve">However motor vehicle insurance in Germany also insures the vehicle, so in one sense we can legitimately compare the risk </w:t>
      </w:r>
      <w:r w:rsidRPr="001A4714">
        <w:rPr>
          <w:i/>
        </w:rPr>
        <w:t>per vehicle</w:t>
      </w:r>
      <w:r w:rsidRPr="001A4714">
        <w:t xml:space="preserve"> and not necessarily per km travelled.</w:t>
      </w:r>
    </w:p>
  </w:footnote>
  <w:footnote w:id="39">
    <w:p w:rsidR="005B445D" w:rsidRPr="0062186F" w:rsidRDefault="005B445D">
      <w:pPr>
        <w:pStyle w:val="FootnoteText"/>
        <w:rPr>
          <w:rFonts w:ascii="OneGulliverA" w:hAnsi="OneGulliverA"/>
          <w:color w:val="000000"/>
          <w:sz w:val="14"/>
          <w:szCs w:val="14"/>
        </w:rPr>
      </w:pPr>
      <w:r>
        <w:rPr>
          <w:rStyle w:val="FootnoteReference"/>
        </w:rPr>
        <w:footnoteRef/>
      </w:r>
      <w:r>
        <w:t xml:space="preserve"> </w:t>
      </w:r>
      <w:r w:rsidRPr="00387DCC">
        <w:t>Jacobsen, P.L., 2003. Safety in numbers: more walkers and bicyclists, safer walking</w:t>
      </w:r>
      <w:r>
        <w:t xml:space="preserve"> </w:t>
      </w:r>
      <w:r w:rsidRPr="00387DCC">
        <w:t>and cycling. Injury Prevention 9, 205–209</w:t>
      </w:r>
      <w:r>
        <w:rPr>
          <w:rStyle w:val="fontstyle01"/>
        </w:rPr>
        <w:t xml:space="preserve"> </w:t>
      </w:r>
    </w:p>
  </w:footnote>
  <w:footnote w:id="40">
    <w:p w:rsidR="005B445D" w:rsidRDefault="005B445D">
      <w:pPr>
        <w:pStyle w:val="FootnoteText"/>
      </w:pPr>
      <w:r>
        <w:rPr>
          <w:rStyle w:val="FootnoteReference"/>
        </w:rPr>
        <w:footnoteRef/>
      </w:r>
      <w:r>
        <w:t xml:space="preserve"> </w:t>
      </w:r>
      <w:hyperlink r:id="rId35" w:history="1">
        <w:r w:rsidRPr="00FD17C3">
          <w:rPr>
            <w:rStyle w:val="Hyperlink"/>
            <w:sz w:val="20"/>
            <w:szCs w:val="20"/>
          </w:rPr>
          <w:t>https://ecf.com/resources/cycling-facts-and-figures/safety-numbers</w:t>
        </w:r>
      </w:hyperlink>
      <w:r>
        <w:t xml:space="preserve"> </w:t>
      </w:r>
    </w:p>
  </w:footnote>
  <w:footnote w:id="41">
    <w:p w:rsidR="0058416E" w:rsidRDefault="0058416E" w:rsidP="0058416E">
      <w:pPr>
        <w:pStyle w:val="FootnoteText"/>
      </w:pPr>
      <w:r>
        <w:rPr>
          <w:rStyle w:val="FootnoteReference"/>
        </w:rPr>
        <w:footnoteRef/>
      </w:r>
      <w:r>
        <w:t xml:space="preserve"> </w:t>
      </w:r>
      <w:hyperlink r:id="rId36" w:history="1">
        <w:r w:rsidRPr="00FD17C3">
          <w:rPr>
            <w:rStyle w:val="Hyperlink"/>
            <w:sz w:val="20"/>
            <w:szCs w:val="20"/>
          </w:rPr>
          <w:t>https://www.pro-velo.ch/fr/pro-velo/actualites/actualites-archives/actualites-archivees/adieu-vignette-velo/</w:t>
        </w:r>
      </w:hyperlink>
      <w:r>
        <w:t xml:space="preserve"> </w:t>
      </w:r>
    </w:p>
  </w:footnote>
  <w:footnote w:id="42">
    <w:p w:rsidR="005B445D" w:rsidRDefault="005B445D" w:rsidP="0038727A">
      <w:pPr>
        <w:pStyle w:val="FootnoteText"/>
      </w:pPr>
      <w:r>
        <w:rPr>
          <w:rStyle w:val="FootnoteReference"/>
        </w:rPr>
        <w:footnoteRef/>
      </w:r>
      <w:r>
        <w:t xml:space="preserve"> </w:t>
      </w:r>
      <w:hyperlink r:id="rId37" w:history="1">
        <w:r w:rsidRPr="00C271AC">
          <w:rPr>
            <w:rStyle w:val="Hyperlink"/>
            <w:sz w:val="20"/>
            <w:szCs w:val="20"/>
          </w:rPr>
          <w:t>http://www.ottawasun.com/2012/01/13/staff-to-council-no-bicycle-licences</w:t>
        </w:r>
      </w:hyperlink>
      <w:r>
        <w:t xml:space="preserve"> </w:t>
      </w:r>
    </w:p>
    <w:p w:rsidR="005B445D" w:rsidRPr="00877191" w:rsidRDefault="005B445D" w:rsidP="0038727A">
      <w:pPr>
        <w:pStyle w:val="FootnoteText"/>
        <w:rPr>
          <w:sz w:val="18"/>
          <w:szCs w:val="18"/>
        </w:rPr>
      </w:pPr>
      <w:hyperlink r:id="rId38" w:history="1">
        <w:r w:rsidRPr="00877191">
          <w:rPr>
            <w:rStyle w:val="Hyperlink"/>
          </w:rPr>
          <w:t>http://www1.toronto.ca/wps/portal/contentonly?vgnextoid=0be4970aa08c1410VgnVCM10000071d60f89RCRD</w:t>
        </w:r>
      </w:hyperlink>
      <w:r w:rsidRPr="00877191">
        <w:rPr>
          <w:sz w:val="18"/>
          <w:szCs w:val="18"/>
        </w:rPr>
        <w:t xml:space="preserve"> </w:t>
      </w:r>
    </w:p>
  </w:footnote>
  <w:footnote w:id="43">
    <w:p w:rsidR="005B445D" w:rsidRDefault="005B445D" w:rsidP="004E616C">
      <w:pPr>
        <w:pStyle w:val="FootnoteText"/>
      </w:pPr>
      <w:r>
        <w:rPr>
          <w:rStyle w:val="FootnoteReference"/>
        </w:rPr>
        <w:footnoteRef/>
      </w:r>
      <w:r>
        <w:t xml:space="preserve"> </w:t>
      </w:r>
      <w:r w:rsidRPr="00F50609">
        <w:t xml:space="preserve">So far the Netherlands has exempted </w:t>
      </w:r>
      <w:r>
        <w:t>“Vehicles which do not pose any danger: Elo bikes= Power Assisted Bikes”</w:t>
      </w:r>
      <w:r w:rsidRPr="00F50609">
        <w:t xml:space="preserve"> and Romania has deemed it necessary to exempt </w:t>
      </w:r>
      <w:r>
        <w:t>“</w:t>
      </w:r>
      <w:r w:rsidRPr="00F50609">
        <w:t>bicycles</w:t>
      </w:r>
      <w:r>
        <w:t xml:space="preserve"> and carts”</w:t>
      </w:r>
      <w:r w:rsidRPr="00F50609">
        <w:t>. Austria has said that “Electric powered bicycles with a maximum power of 600 Watt and a model-specific maximum speed” are exempt</w:t>
      </w:r>
      <w:r>
        <w:t xml:space="preserve">. Luxembourg has exempted “vehicles not requiring Registration”. EFTA country </w:t>
      </w:r>
      <w:r w:rsidRPr="002E4372">
        <w:t>Liechtenstein</w:t>
      </w:r>
      <w:r>
        <w:t xml:space="preserve"> has exempted “</w:t>
      </w:r>
      <w:r w:rsidRPr="002E4372">
        <w:t>lightweight motor bicycle</w:t>
      </w:r>
      <w:r>
        <w:t>”</w:t>
      </w:r>
    </w:p>
  </w:footnote>
  <w:footnote w:id="44">
    <w:p w:rsidR="00211B70" w:rsidRDefault="00211B70">
      <w:pPr>
        <w:pStyle w:val="FootnoteText"/>
      </w:pPr>
      <w:r>
        <w:rPr>
          <w:rStyle w:val="FootnoteReference"/>
        </w:rPr>
        <w:footnoteRef/>
      </w:r>
      <w:r>
        <w:t xml:space="preserve"> </w:t>
      </w:r>
      <w:hyperlink r:id="rId39" w:history="1">
        <w:r w:rsidRPr="00BC7B80">
          <w:rPr>
            <w:rStyle w:val="Hyperlink"/>
            <w:sz w:val="20"/>
            <w:szCs w:val="20"/>
          </w:rPr>
          <w:t>http://www.eurovelo.com/en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5D" w:rsidRDefault="00D05317">
    <w:pPr>
      <w:pStyle w:val="Header"/>
      <w:rPr>
        <w:rStyle w:val="EndnotesChar"/>
      </w:rPr>
    </w:pPr>
    <w:r w:rsidRPr="00D05317">
      <w:rPr>
        <w:rStyle w:val="EndnotesChar"/>
      </w:rPr>
      <w:t>ECF Position Paper on Motor Vehicle Insurance Directive</w:t>
    </w:r>
  </w:p>
  <w:p w:rsidR="005B445D" w:rsidRPr="00F36BF2" w:rsidRDefault="005B445D" w:rsidP="003F554F">
    <w:pPr>
      <w:pStyle w:val="Header"/>
      <w:jc w:val="right"/>
      <w:rPr>
        <w:rStyle w:val="EndnotesCh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5D" w:rsidRDefault="005B445D" w:rsidP="003F554F">
    <w:pPr>
      <w:pStyle w:val="Header"/>
      <w:jc w:val="right"/>
    </w:pPr>
  </w:p>
  <w:p w:rsidR="005B445D" w:rsidRDefault="005B4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62F69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33048688"/>
    <w:lvl w:ilvl="0">
      <w:start w:val="1"/>
      <w:numFmt w:val="decimal"/>
      <w:pStyle w:val="ListNumber"/>
      <w:lvlText w:val="%1."/>
      <w:lvlJc w:val="left"/>
      <w:pPr>
        <w:tabs>
          <w:tab w:val="num" w:pos="360"/>
        </w:tabs>
        <w:ind w:left="360" w:hanging="360"/>
      </w:pPr>
    </w:lvl>
  </w:abstractNum>
  <w:abstractNum w:abstractNumId="2" w15:restartNumberingAfterBreak="0">
    <w:nsid w:val="00892CDF"/>
    <w:multiLevelType w:val="hybridMultilevel"/>
    <w:tmpl w:val="36A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62380"/>
    <w:multiLevelType w:val="hybridMultilevel"/>
    <w:tmpl w:val="2B1E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0026B"/>
    <w:multiLevelType w:val="hybridMultilevel"/>
    <w:tmpl w:val="F7B2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262FA"/>
    <w:multiLevelType w:val="hybridMultilevel"/>
    <w:tmpl w:val="CF1E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92C0F"/>
    <w:multiLevelType w:val="hybridMultilevel"/>
    <w:tmpl w:val="80D6E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3950"/>
    <w:multiLevelType w:val="hybridMultilevel"/>
    <w:tmpl w:val="36A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20B64"/>
    <w:multiLevelType w:val="hybridMultilevel"/>
    <w:tmpl w:val="1FF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A7DAE"/>
    <w:multiLevelType w:val="hybridMultilevel"/>
    <w:tmpl w:val="A83A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E42FA"/>
    <w:multiLevelType w:val="hybridMultilevel"/>
    <w:tmpl w:val="57E2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72D45"/>
    <w:multiLevelType w:val="multilevel"/>
    <w:tmpl w:val="2818A80C"/>
    <w:lvl w:ilvl="0">
      <w:start w:val="1"/>
      <w:numFmt w:val="decimal"/>
      <w:pStyle w:val="Heading1"/>
      <w:lvlText w:val="%1.0"/>
      <w:lvlJc w:val="left"/>
      <w:pPr>
        <w:tabs>
          <w:tab w:val="num" w:pos="567"/>
        </w:tabs>
        <w:ind w:left="0" w:firstLine="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C3152DB"/>
    <w:multiLevelType w:val="hybridMultilevel"/>
    <w:tmpl w:val="A1BE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72D39"/>
    <w:multiLevelType w:val="hybridMultilevel"/>
    <w:tmpl w:val="281A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45FF3"/>
    <w:multiLevelType w:val="hybridMultilevel"/>
    <w:tmpl w:val="A3800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86499"/>
    <w:multiLevelType w:val="hybridMultilevel"/>
    <w:tmpl w:val="213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67E90"/>
    <w:multiLevelType w:val="hybridMultilevel"/>
    <w:tmpl w:val="3CD0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D562F"/>
    <w:multiLevelType w:val="hybridMultilevel"/>
    <w:tmpl w:val="09E6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95488"/>
    <w:multiLevelType w:val="hybridMultilevel"/>
    <w:tmpl w:val="E9FAB612"/>
    <w:lvl w:ilvl="0" w:tplc="7FE6085C">
      <w:start w:val="1"/>
      <w:numFmt w:val="bullet"/>
      <w:pStyle w:val="Bulletlist"/>
      <w:lvlText w:val=""/>
      <w:lvlJc w:val="left"/>
      <w:pPr>
        <w:ind w:left="720" w:hanging="360"/>
      </w:pPr>
      <w:rPr>
        <w:rFonts w:ascii="Symbol" w:hAnsi="Symbol" w:hint="default"/>
        <w:color w:val="0092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17B04"/>
    <w:multiLevelType w:val="hybridMultilevel"/>
    <w:tmpl w:val="2CBE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A687C"/>
    <w:multiLevelType w:val="hybridMultilevel"/>
    <w:tmpl w:val="5876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B6686"/>
    <w:multiLevelType w:val="hybridMultilevel"/>
    <w:tmpl w:val="68305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15:restartNumberingAfterBreak="0">
    <w:nsid w:val="74B63EC1"/>
    <w:multiLevelType w:val="multilevel"/>
    <w:tmpl w:val="2EBEAD50"/>
    <w:styleLink w:val="111111"/>
    <w:lvl w:ilvl="0">
      <w:start w:val="1"/>
      <w:numFmt w:val="decimal"/>
      <w:lvlText w:val="%1.0"/>
      <w:lvlJc w:val="left"/>
      <w:pPr>
        <w:tabs>
          <w:tab w:val="num" w:pos="720"/>
        </w:tabs>
        <w:ind w:left="360" w:hanging="360"/>
      </w:pPr>
      <w:rPr>
        <w:rFonts w:ascii="Arial" w:hAnsi="Arial" w:hint="default"/>
        <w:b/>
        <w:color w:val="808080"/>
        <w:sz w:val="32"/>
      </w:rPr>
    </w:lvl>
    <w:lvl w:ilvl="1">
      <w:start w:val="1"/>
      <w:numFmt w:val="decimal"/>
      <w:lvlText w:val="%1.%2."/>
      <w:lvlJc w:val="left"/>
      <w:pPr>
        <w:tabs>
          <w:tab w:val="num" w:pos="1800"/>
        </w:tabs>
        <w:ind w:left="792" w:hanging="432"/>
      </w:pPr>
      <w:rPr>
        <w:rFonts w:ascii="Arial" w:hAnsi="Arial" w:hint="default"/>
        <w:color w:val="808080"/>
        <w:sz w:val="24"/>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7E362DA1"/>
    <w:multiLevelType w:val="hybridMultilevel"/>
    <w:tmpl w:val="6BF4D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B53F69"/>
    <w:multiLevelType w:val="hybridMultilevel"/>
    <w:tmpl w:val="061EE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1"/>
  </w:num>
  <w:num w:numId="4">
    <w:abstractNumId w:val="1"/>
  </w:num>
  <w:num w:numId="5">
    <w:abstractNumId w:val="22"/>
  </w:num>
  <w:num w:numId="6">
    <w:abstractNumId w:val="18"/>
  </w:num>
  <w:num w:numId="7">
    <w:abstractNumId w:val="13"/>
  </w:num>
  <w:num w:numId="8">
    <w:abstractNumId w:val="19"/>
  </w:num>
  <w:num w:numId="9">
    <w:abstractNumId w:val="8"/>
  </w:num>
  <w:num w:numId="10">
    <w:abstractNumId w:val="6"/>
  </w:num>
  <w:num w:numId="11">
    <w:abstractNumId w:val="3"/>
  </w:num>
  <w:num w:numId="12">
    <w:abstractNumId w:val="9"/>
  </w:num>
  <w:num w:numId="13">
    <w:abstractNumId w:val="2"/>
  </w:num>
  <w:num w:numId="14">
    <w:abstractNumId w:val="12"/>
  </w:num>
  <w:num w:numId="15">
    <w:abstractNumId w:val="24"/>
  </w:num>
  <w:num w:numId="16">
    <w:abstractNumId w:val="14"/>
  </w:num>
  <w:num w:numId="17">
    <w:abstractNumId w:val="4"/>
  </w:num>
  <w:num w:numId="18">
    <w:abstractNumId w:val="21"/>
  </w:num>
  <w:num w:numId="19">
    <w:abstractNumId w:val="25"/>
  </w:num>
  <w:num w:numId="20">
    <w:abstractNumId w:val="7"/>
  </w:num>
  <w:num w:numId="21">
    <w:abstractNumId w:val="5"/>
  </w:num>
  <w:num w:numId="22">
    <w:abstractNumId w:val="17"/>
  </w:num>
  <w:num w:numId="23">
    <w:abstractNumId w:val="20"/>
  </w:num>
  <w:num w:numId="24">
    <w:abstractNumId w:val="16"/>
  </w:num>
  <w:num w:numId="25">
    <w:abstractNumId w:val="10"/>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34"/>
    <w:rsid w:val="000000F7"/>
    <w:rsid w:val="000005E6"/>
    <w:rsid w:val="0000335E"/>
    <w:rsid w:val="00005F6A"/>
    <w:rsid w:val="00014569"/>
    <w:rsid w:val="000209F9"/>
    <w:rsid w:val="00021176"/>
    <w:rsid w:val="00021FDB"/>
    <w:rsid w:val="0002317B"/>
    <w:rsid w:val="0002705F"/>
    <w:rsid w:val="00032118"/>
    <w:rsid w:val="00033B64"/>
    <w:rsid w:val="00034432"/>
    <w:rsid w:val="000359B5"/>
    <w:rsid w:val="00042750"/>
    <w:rsid w:val="00043321"/>
    <w:rsid w:val="00044080"/>
    <w:rsid w:val="00044A6A"/>
    <w:rsid w:val="000453B5"/>
    <w:rsid w:val="000460B8"/>
    <w:rsid w:val="000464E6"/>
    <w:rsid w:val="00051B98"/>
    <w:rsid w:val="0005514E"/>
    <w:rsid w:val="00065341"/>
    <w:rsid w:val="0006547B"/>
    <w:rsid w:val="000711A3"/>
    <w:rsid w:val="0007290F"/>
    <w:rsid w:val="00072D34"/>
    <w:rsid w:val="0007608B"/>
    <w:rsid w:val="00077D09"/>
    <w:rsid w:val="00081FB9"/>
    <w:rsid w:val="00083B73"/>
    <w:rsid w:val="00090773"/>
    <w:rsid w:val="0009477B"/>
    <w:rsid w:val="0009793C"/>
    <w:rsid w:val="000A11A4"/>
    <w:rsid w:val="000A24C3"/>
    <w:rsid w:val="000A3FAE"/>
    <w:rsid w:val="000A5253"/>
    <w:rsid w:val="000A63B4"/>
    <w:rsid w:val="000B11D3"/>
    <w:rsid w:val="000B2C0B"/>
    <w:rsid w:val="000B5C82"/>
    <w:rsid w:val="000B712E"/>
    <w:rsid w:val="000C0929"/>
    <w:rsid w:val="000C28A6"/>
    <w:rsid w:val="000C3D9C"/>
    <w:rsid w:val="000C6033"/>
    <w:rsid w:val="000D1B44"/>
    <w:rsid w:val="000D1DD3"/>
    <w:rsid w:val="000E5286"/>
    <w:rsid w:val="000E557A"/>
    <w:rsid w:val="000E5AFB"/>
    <w:rsid w:val="000F047C"/>
    <w:rsid w:val="000F298A"/>
    <w:rsid w:val="000F4500"/>
    <w:rsid w:val="000F50AA"/>
    <w:rsid w:val="000F59BA"/>
    <w:rsid w:val="0010139D"/>
    <w:rsid w:val="00102427"/>
    <w:rsid w:val="00103959"/>
    <w:rsid w:val="00103DA8"/>
    <w:rsid w:val="0010452E"/>
    <w:rsid w:val="001045EE"/>
    <w:rsid w:val="0010722A"/>
    <w:rsid w:val="00117AEE"/>
    <w:rsid w:val="001210A6"/>
    <w:rsid w:val="001252F3"/>
    <w:rsid w:val="00127B2D"/>
    <w:rsid w:val="0013451B"/>
    <w:rsid w:val="0013471D"/>
    <w:rsid w:val="0013625E"/>
    <w:rsid w:val="00142466"/>
    <w:rsid w:val="001451D5"/>
    <w:rsid w:val="00147F66"/>
    <w:rsid w:val="00155B77"/>
    <w:rsid w:val="001619B3"/>
    <w:rsid w:val="001632C9"/>
    <w:rsid w:val="00167219"/>
    <w:rsid w:val="001674B9"/>
    <w:rsid w:val="001744C9"/>
    <w:rsid w:val="00175692"/>
    <w:rsid w:val="00175C17"/>
    <w:rsid w:val="00176074"/>
    <w:rsid w:val="00176492"/>
    <w:rsid w:val="00177AE8"/>
    <w:rsid w:val="0018127C"/>
    <w:rsid w:val="0018129B"/>
    <w:rsid w:val="0018303C"/>
    <w:rsid w:val="001833F7"/>
    <w:rsid w:val="00190AA5"/>
    <w:rsid w:val="001917EA"/>
    <w:rsid w:val="001A2BFB"/>
    <w:rsid w:val="001A4714"/>
    <w:rsid w:val="001A7CDC"/>
    <w:rsid w:val="001B0BE8"/>
    <w:rsid w:val="001B0FC7"/>
    <w:rsid w:val="001B3CA8"/>
    <w:rsid w:val="001B4EC7"/>
    <w:rsid w:val="001B50A8"/>
    <w:rsid w:val="001C1704"/>
    <w:rsid w:val="001C1BDF"/>
    <w:rsid w:val="001C2BD8"/>
    <w:rsid w:val="001C6BFD"/>
    <w:rsid w:val="001D0118"/>
    <w:rsid w:val="001D3000"/>
    <w:rsid w:val="001D568A"/>
    <w:rsid w:val="001D6FAA"/>
    <w:rsid w:val="001D7308"/>
    <w:rsid w:val="001D7E6D"/>
    <w:rsid w:val="001E09CB"/>
    <w:rsid w:val="001E1D45"/>
    <w:rsid w:val="001E4B7D"/>
    <w:rsid w:val="001F0781"/>
    <w:rsid w:val="001F10BB"/>
    <w:rsid w:val="001F4F85"/>
    <w:rsid w:val="001F712A"/>
    <w:rsid w:val="00200A01"/>
    <w:rsid w:val="0020206B"/>
    <w:rsid w:val="0020460B"/>
    <w:rsid w:val="00206C8A"/>
    <w:rsid w:val="00207354"/>
    <w:rsid w:val="002077C8"/>
    <w:rsid w:val="0021059A"/>
    <w:rsid w:val="00210A67"/>
    <w:rsid w:val="00211B70"/>
    <w:rsid w:val="002128BF"/>
    <w:rsid w:val="00212ED7"/>
    <w:rsid w:val="00214205"/>
    <w:rsid w:val="002178D7"/>
    <w:rsid w:val="00221ED8"/>
    <w:rsid w:val="002260B7"/>
    <w:rsid w:val="002349F3"/>
    <w:rsid w:val="00235F5D"/>
    <w:rsid w:val="00236380"/>
    <w:rsid w:val="00237BB2"/>
    <w:rsid w:val="002410A1"/>
    <w:rsid w:val="002424CC"/>
    <w:rsid w:val="00250F60"/>
    <w:rsid w:val="002552E0"/>
    <w:rsid w:val="00257F2B"/>
    <w:rsid w:val="0026028D"/>
    <w:rsid w:val="002605C7"/>
    <w:rsid w:val="00263782"/>
    <w:rsid w:val="00271E19"/>
    <w:rsid w:val="00272DCC"/>
    <w:rsid w:val="00276954"/>
    <w:rsid w:val="002810CF"/>
    <w:rsid w:val="002813E7"/>
    <w:rsid w:val="0028295C"/>
    <w:rsid w:val="00282C8E"/>
    <w:rsid w:val="00286380"/>
    <w:rsid w:val="0029023A"/>
    <w:rsid w:val="00290307"/>
    <w:rsid w:val="002927D0"/>
    <w:rsid w:val="002934A5"/>
    <w:rsid w:val="002979AD"/>
    <w:rsid w:val="002A04EB"/>
    <w:rsid w:val="002A6174"/>
    <w:rsid w:val="002A73A6"/>
    <w:rsid w:val="002B0DDB"/>
    <w:rsid w:val="002B2646"/>
    <w:rsid w:val="002B2CD8"/>
    <w:rsid w:val="002C07D6"/>
    <w:rsid w:val="002C19DD"/>
    <w:rsid w:val="002C1F08"/>
    <w:rsid w:val="002C5962"/>
    <w:rsid w:val="002C77B8"/>
    <w:rsid w:val="002C7F5F"/>
    <w:rsid w:val="002D4DC1"/>
    <w:rsid w:val="002E02BB"/>
    <w:rsid w:val="002E408D"/>
    <w:rsid w:val="002E4372"/>
    <w:rsid w:val="002E74EF"/>
    <w:rsid w:val="002F4C86"/>
    <w:rsid w:val="00300E28"/>
    <w:rsid w:val="003016C0"/>
    <w:rsid w:val="00302D63"/>
    <w:rsid w:val="00303F99"/>
    <w:rsid w:val="00307E93"/>
    <w:rsid w:val="003130B7"/>
    <w:rsid w:val="00315505"/>
    <w:rsid w:val="00317D43"/>
    <w:rsid w:val="00320936"/>
    <w:rsid w:val="00320E62"/>
    <w:rsid w:val="00322FF6"/>
    <w:rsid w:val="0033212A"/>
    <w:rsid w:val="00332E98"/>
    <w:rsid w:val="00334AAA"/>
    <w:rsid w:val="00336DC1"/>
    <w:rsid w:val="00340E4A"/>
    <w:rsid w:val="00343E13"/>
    <w:rsid w:val="003472D4"/>
    <w:rsid w:val="0035000C"/>
    <w:rsid w:val="0035049B"/>
    <w:rsid w:val="00351205"/>
    <w:rsid w:val="00351309"/>
    <w:rsid w:val="00355F85"/>
    <w:rsid w:val="003605AD"/>
    <w:rsid w:val="00360ADE"/>
    <w:rsid w:val="003611EB"/>
    <w:rsid w:val="00364658"/>
    <w:rsid w:val="0036490A"/>
    <w:rsid w:val="003677BE"/>
    <w:rsid w:val="00367CD2"/>
    <w:rsid w:val="00370032"/>
    <w:rsid w:val="00370FBC"/>
    <w:rsid w:val="00371501"/>
    <w:rsid w:val="00376BAD"/>
    <w:rsid w:val="00377863"/>
    <w:rsid w:val="003807EB"/>
    <w:rsid w:val="00381E42"/>
    <w:rsid w:val="00384E0D"/>
    <w:rsid w:val="003869EC"/>
    <w:rsid w:val="00386FAF"/>
    <w:rsid w:val="0038727A"/>
    <w:rsid w:val="00387DCC"/>
    <w:rsid w:val="003917AA"/>
    <w:rsid w:val="00396773"/>
    <w:rsid w:val="00396EC3"/>
    <w:rsid w:val="003A3456"/>
    <w:rsid w:val="003A3DA4"/>
    <w:rsid w:val="003A6B09"/>
    <w:rsid w:val="003A7D90"/>
    <w:rsid w:val="003B083C"/>
    <w:rsid w:val="003B0D29"/>
    <w:rsid w:val="003B19E8"/>
    <w:rsid w:val="003B21E8"/>
    <w:rsid w:val="003B2FA8"/>
    <w:rsid w:val="003B30D1"/>
    <w:rsid w:val="003B3B68"/>
    <w:rsid w:val="003B3EDF"/>
    <w:rsid w:val="003B76C4"/>
    <w:rsid w:val="003B7DFB"/>
    <w:rsid w:val="003C2F27"/>
    <w:rsid w:val="003C3B40"/>
    <w:rsid w:val="003C76E3"/>
    <w:rsid w:val="003D0824"/>
    <w:rsid w:val="003D7A50"/>
    <w:rsid w:val="003E07E4"/>
    <w:rsid w:val="003E1435"/>
    <w:rsid w:val="003E3E25"/>
    <w:rsid w:val="003E3F4F"/>
    <w:rsid w:val="003E5495"/>
    <w:rsid w:val="003E5F7C"/>
    <w:rsid w:val="003E68F9"/>
    <w:rsid w:val="003E6951"/>
    <w:rsid w:val="003F554F"/>
    <w:rsid w:val="003F6F9C"/>
    <w:rsid w:val="003F7CDD"/>
    <w:rsid w:val="003F7E12"/>
    <w:rsid w:val="003F7E14"/>
    <w:rsid w:val="00403983"/>
    <w:rsid w:val="00405770"/>
    <w:rsid w:val="004066B0"/>
    <w:rsid w:val="00412289"/>
    <w:rsid w:val="00414C5C"/>
    <w:rsid w:val="0041521A"/>
    <w:rsid w:val="00416083"/>
    <w:rsid w:val="00420ED6"/>
    <w:rsid w:val="00422468"/>
    <w:rsid w:val="00432984"/>
    <w:rsid w:val="00433797"/>
    <w:rsid w:val="00436306"/>
    <w:rsid w:val="004365B6"/>
    <w:rsid w:val="00436716"/>
    <w:rsid w:val="00436A6C"/>
    <w:rsid w:val="00440EF9"/>
    <w:rsid w:val="00451F16"/>
    <w:rsid w:val="00463145"/>
    <w:rsid w:val="004639FB"/>
    <w:rsid w:val="004659E1"/>
    <w:rsid w:val="00466109"/>
    <w:rsid w:val="0046623C"/>
    <w:rsid w:val="004664B5"/>
    <w:rsid w:val="00470CFC"/>
    <w:rsid w:val="00474DE9"/>
    <w:rsid w:val="00477647"/>
    <w:rsid w:val="00481B58"/>
    <w:rsid w:val="00484087"/>
    <w:rsid w:val="004845E5"/>
    <w:rsid w:val="004873DF"/>
    <w:rsid w:val="0049059A"/>
    <w:rsid w:val="00497492"/>
    <w:rsid w:val="004A17C8"/>
    <w:rsid w:val="004A2010"/>
    <w:rsid w:val="004A22FA"/>
    <w:rsid w:val="004A3F03"/>
    <w:rsid w:val="004B0EDA"/>
    <w:rsid w:val="004B1F9D"/>
    <w:rsid w:val="004B3002"/>
    <w:rsid w:val="004B3642"/>
    <w:rsid w:val="004B7172"/>
    <w:rsid w:val="004B7FBE"/>
    <w:rsid w:val="004D2A74"/>
    <w:rsid w:val="004D58F6"/>
    <w:rsid w:val="004E0B85"/>
    <w:rsid w:val="004E1C9F"/>
    <w:rsid w:val="004E2BD2"/>
    <w:rsid w:val="004E616C"/>
    <w:rsid w:val="004E6C89"/>
    <w:rsid w:val="004F143F"/>
    <w:rsid w:val="004F30F6"/>
    <w:rsid w:val="004F4EE4"/>
    <w:rsid w:val="004F54D4"/>
    <w:rsid w:val="005009B8"/>
    <w:rsid w:val="0050118B"/>
    <w:rsid w:val="00502360"/>
    <w:rsid w:val="005023BD"/>
    <w:rsid w:val="00507F13"/>
    <w:rsid w:val="00511D2A"/>
    <w:rsid w:val="00515A0E"/>
    <w:rsid w:val="00515FA3"/>
    <w:rsid w:val="00517155"/>
    <w:rsid w:val="005201EB"/>
    <w:rsid w:val="00520268"/>
    <w:rsid w:val="00522628"/>
    <w:rsid w:val="00523B79"/>
    <w:rsid w:val="00525D30"/>
    <w:rsid w:val="005278E1"/>
    <w:rsid w:val="00530090"/>
    <w:rsid w:val="00530908"/>
    <w:rsid w:val="00536BEC"/>
    <w:rsid w:val="00542DEE"/>
    <w:rsid w:val="005478E1"/>
    <w:rsid w:val="00554D2C"/>
    <w:rsid w:val="00555E5E"/>
    <w:rsid w:val="00556BC9"/>
    <w:rsid w:val="00561E1A"/>
    <w:rsid w:val="005739D8"/>
    <w:rsid w:val="00574628"/>
    <w:rsid w:val="00581B15"/>
    <w:rsid w:val="00581BF0"/>
    <w:rsid w:val="0058238B"/>
    <w:rsid w:val="0058291F"/>
    <w:rsid w:val="00583ABA"/>
    <w:rsid w:val="0058416E"/>
    <w:rsid w:val="005857A6"/>
    <w:rsid w:val="0059030C"/>
    <w:rsid w:val="00591602"/>
    <w:rsid w:val="0059351F"/>
    <w:rsid w:val="00596789"/>
    <w:rsid w:val="00596F04"/>
    <w:rsid w:val="005A061D"/>
    <w:rsid w:val="005A0889"/>
    <w:rsid w:val="005A1F0D"/>
    <w:rsid w:val="005A3157"/>
    <w:rsid w:val="005A61B0"/>
    <w:rsid w:val="005B0E0D"/>
    <w:rsid w:val="005B1376"/>
    <w:rsid w:val="005B1468"/>
    <w:rsid w:val="005B445D"/>
    <w:rsid w:val="005C4653"/>
    <w:rsid w:val="005C5D2F"/>
    <w:rsid w:val="005C6DBD"/>
    <w:rsid w:val="005D1F52"/>
    <w:rsid w:val="005D3921"/>
    <w:rsid w:val="005E30B1"/>
    <w:rsid w:val="005E4B1F"/>
    <w:rsid w:val="005F0223"/>
    <w:rsid w:val="005F47AB"/>
    <w:rsid w:val="006054B9"/>
    <w:rsid w:val="006131F4"/>
    <w:rsid w:val="00615266"/>
    <w:rsid w:val="0062186F"/>
    <w:rsid w:val="00623265"/>
    <w:rsid w:val="00623B9F"/>
    <w:rsid w:val="00624BED"/>
    <w:rsid w:val="006268C9"/>
    <w:rsid w:val="0063086F"/>
    <w:rsid w:val="00630A25"/>
    <w:rsid w:val="00631866"/>
    <w:rsid w:val="006347D6"/>
    <w:rsid w:val="006355AA"/>
    <w:rsid w:val="00637505"/>
    <w:rsid w:val="006409BD"/>
    <w:rsid w:val="006427C4"/>
    <w:rsid w:val="00643290"/>
    <w:rsid w:val="00644623"/>
    <w:rsid w:val="006475CB"/>
    <w:rsid w:val="006500C5"/>
    <w:rsid w:val="00656758"/>
    <w:rsid w:val="00656A78"/>
    <w:rsid w:val="006611DA"/>
    <w:rsid w:val="00661505"/>
    <w:rsid w:val="00670E60"/>
    <w:rsid w:val="00672D53"/>
    <w:rsid w:val="006835D5"/>
    <w:rsid w:val="0068415E"/>
    <w:rsid w:val="00685040"/>
    <w:rsid w:val="0068564B"/>
    <w:rsid w:val="00694F4A"/>
    <w:rsid w:val="00696450"/>
    <w:rsid w:val="0069738A"/>
    <w:rsid w:val="006A28A8"/>
    <w:rsid w:val="006A4A69"/>
    <w:rsid w:val="006A6C31"/>
    <w:rsid w:val="006A729F"/>
    <w:rsid w:val="006B0578"/>
    <w:rsid w:val="006B4744"/>
    <w:rsid w:val="006C16A9"/>
    <w:rsid w:val="006C25BF"/>
    <w:rsid w:val="006C2E44"/>
    <w:rsid w:val="006C3738"/>
    <w:rsid w:val="006C4075"/>
    <w:rsid w:val="006C4FA0"/>
    <w:rsid w:val="006D3E9A"/>
    <w:rsid w:val="006D4AEB"/>
    <w:rsid w:val="006E0FC2"/>
    <w:rsid w:val="006E22B7"/>
    <w:rsid w:val="006E2A73"/>
    <w:rsid w:val="006E3841"/>
    <w:rsid w:val="006E630A"/>
    <w:rsid w:val="006F094C"/>
    <w:rsid w:val="006F174C"/>
    <w:rsid w:val="006F3192"/>
    <w:rsid w:val="006F4026"/>
    <w:rsid w:val="006F6B5C"/>
    <w:rsid w:val="006F6F0A"/>
    <w:rsid w:val="0070617F"/>
    <w:rsid w:val="00707EEE"/>
    <w:rsid w:val="00712100"/>
    <w:rsid w:val="00713115"/>
    <w:rsid w:val="00713718"/>
    <w:rsid w:val="00714C5B"/>
    <w:rsid w:val="00714E94"/>
    <w:rsid w:val="007162D1"/>
    <w:rsid w:val="007208C8"/>
    <w:rsid w:val="0072310F"/>
    <w:rsid w:val="00724F71"/>
    <w:rsid w:val="00727607"/>
    <w:rsid w:val="0073391C"/>
    <w:rsid w:val="00734015"/>
    <w:rsid w:val="00737AD1"/>
    <w:rsid w:val="00743EB7"/>
    <w:rsid w:val="00745DE2"/>
    <w:rsid w:val="00746699"/>
    <w:rsid w:val="007479BA"/>
    <w:rsid w:val="00752BD4"/>
    <w:rsid w:val="0075653C"/>
    <w:rsid w:val="0076252A"/>
    <w:rsid w:val="00763814"/>
    <w:rsid w:val="0077060F"/>
    <w:rsid w:val="00772E3E"/>
    <w:rsid w:val="00775574"/>
    <w:rsid w:val="0077688E"/>
    <w:rsid w:val="00776F35"/>
    <w:rsid w:val="007771D3"/>
    <w:rsid w:val="00777238"/>
    <w:rsid w:val="007832DF"/>
    <w:rsid w:val="00790BEC"/>
    <w:rsid w:val="00790D5D"/>
    <w:rsid w:val="007A2341"/>
    <w:rsid w:val="007A26FA"/>
    <w:rsid w:val="007A6D67"/>
    <w:rsid w:val="007B35AB"/>
    <w:rsid w:val="007B5680"/>
    <w:rsid w:val="007B73DD"/>
    <w:rsid w:val="007C3FDB"/>
    <w:rsid w:val="007C6C18"/>
    <w:rsid w:val="007D380F"/>
    <w:rsid w:val="007D49A7"/>
    <w:rsid w:val="007E1417"/>
    <w:rsid w:val="007E6C90"/>
    <w:rsid w:val="007F03C8"/>
    <w:rsid w:val="0080134D"/>
    <w:rsid w:val="0080197A"/>
    <w:rsid w:val="00802FB1"/>
    <w:rsid w:val="0080579C"/>
    <w:rsid w:val="00815987"/>
    <w:rsid w:val="00815E2B"/>
    <w:rsid w:val="00823873"/>
    <w:rsid w:val="00826DB8"/>
    <w:rsid w:val="00827A06"/>
    <w:rsid w:val="008303C1"/>
    <w:rsid w:val="0083395A"/>
    <w:rsid w:val="00844682"/>
    <w:rsid w:val="00847166"/>
    <w:rsid w:val="008517E2"/>
    <w:rsid w:val="00853BAA"/>
    <w:rsid w:val="00860609"/>
    <w:rsid w:val="0086569B"/>
    <w:rsid w:val="00867421"/>
    <w:rsid w:val="00870D57"/>
    <w:rsid w:val="0087173A"/>
    <w:rsid w:val="00873E50"/>
    <w:rsid w:val="008758E3"/>
    <w:rsid w:val="00877191"/>
    <w:rsid w:val="0087776F"/>
    <w:rsid w:val="00880CAF"/>
    <w:rsid w:val="00882164"/>
    <w:rsid w:val="0088220F"/>
    <w:rsid w:val="00884B61"/>
    <w:rsid w:val="00884C45"/>
    <w:rsid w:val="00894A43"/>
    <w:rsid w:val="00895A9D"/>
    <w:rsid w:val="00896530"/>
    <w:rsid w:val="008970D3"/>
    <w:rsid w:val="008A2C06"/>
    <w:rsid w:val="008A4970"/>
    <w:rsid w:val="008B1EB4"/>
    <w:rsid w:val="008B6323"/>
    <w:rsid w:val="008B64A2"/>
    <w:rsid w:val="008B6E8F"/>
    <w:rsid w:val="008D12AE"/>
    <w:rsid w:val="008D13FC"/>
    <w:rsid w:val="008D2842"/>
    <w:rsid w:val="008D4766"/>
    <w:rsid w:val="008E4BF6"/>
    <w:rsid w:val="008E68F2"/>
    <w:rsid w:val="008F3C00"/>
    <w:rsid w:val="008F7B3C"/>
    <w:rsid w:val="0090147A"/>
    <w:rsid w:val="00902646"/>
    <w:rsid w:val="00914F16"/>
    <w:rsid w:val="009159FD"/>
    <w:rsid w:val="009173E7"/>
    <w:rsid w:val="0092512F"/>
    <w:rsid w:val="00931110"/>
    <w:rsid w:val="00931781"/>
    <w:rsid w:val="0093210A"/>
    <w:rsid w:val="00936E7C"/>
    <w:rsid w:val="00937546"/>
    <w:rsid w:val="0094066A"/>
    <w:rsid w:val="00943D9C"/>
    <w:rsid w:val="0094799C"/>
    <w:rsid w:val="00950ACF"/>
    <w:rsid w:val="00950B91"/>
    <w:rsid w:val="009527AA"/>
    <w:rsid w:val="0095292F"/>
    <w:rsid w:val="009538B7"/>
    <w:rsid w:val="0095402D"/>
    <w:rsid w:val="00955C2D"/>
    <w:rsid w:val="00955E44"/>
    <w:rsid w:val="00961540"/>
    <w:rsid w:val="00961D91"/>
    <w:rsid w:val="00963275"/>
    <w:rsid w:val="00964FA9"/>
    <w:rsid w:val="009710C6"/>
    <w:rsid w:val="009821D7"/>
    <w:rsid w:val="00990443"/>
    <w:rsid w:val="00991811"/>
    <w:rsid w:val="00997228"/>
    <w:rsid w:val="009A2AF9"/>
    <w:rsid w:val="009A5188"/>
    <w:rsid w:val="009B0209"/>
    <w:rsid w:val="009B1AEC"/>
    <w:rsid w:val="009B33BE"/>
    <w:rsid w:val="009B3550"/>
    <w:rsid w:val="009B36EB"/>
    <w:rsid w:val="009B3D27"/>
    <w:rsid w:val="009B4FFD"/>
    <w:rsid w:val="009B6136"/>
    <w:rsid w:val="009C40A4"/>
    <w:rsid w:val="009C5FB1"/>
    <w:rsid w:val="009C68CF"/>
    <w:rsid w:val="009C716D"/>
    <w:rsid w:val="009C743E"/>
    <w:rsid w:val="009D4ABE"/>
    <w:rsid w:val="009E3BFF"/>
    <w:rsid w:val="009E7320"/>
    <w:rsid w:val="009E79D4"/>
    <w:rsid w:val="009F108A"/>
    <w:rsid w:val="009F1690"/>
    <w:rsid w:val="009F344C"/>
    <w:rsid w:val="009F414B"/>
    <w:rsid w:val="009F5C99"/>
    <w:rsid w:val="009F6C15"/>
    <w:rsid w:val="009F7A29"/>
    <w:rsid w:val="00A02132"/>
    <w:rsid w:val="00A0388B"/>
    <w:rsid w:val="00A04448"/>
    <w:rsid w:val="00A04A8D"/>
    <w:rsid w:val="00A06FB8"/>
    <w:rsid w:val="00A07D32"/>
    <w:rsid w:val="00A1256B"/>
    <w:rsid w:val="00A1293C"/>
    <w:rsid w:val="00A1558C"/>
    <w:rsid w:val="00A161BE"/>
    <w:rsid w:val="00A17EB8"/>
    <w:rsid w:val="00A20C4F"/>
    <w:rsid w:val="00A2153C"/>
    <w:rsid w:val="00A2399D"/>
    <w:rsid w:val="00A24DE6"/>
    <w:rsid w:val="00A2726D"/>
    <w:rsid w:val="00A34327"/>
    <w:rsid w:val="00A35979"/>
    <w:rsid w:val="00A3656E"/>
    <w:rsid w:val="00A44F37"/>
    <w:rsid w:val="00A45663"/>
    <w:rsid w:val="00A47609"/>
    <w:rsid w:val="00A50C0E"/>
    <w:rsid w:val="00A564F4"/>
    <w:rsid w:val="00A616C2"/>
    <w:rsid w:val="00A636D5"/>
    <w:rsid w:val="00A645C3"/>
    <w:rsid w:val="00A7255F"/>
    <w:rsid w:val="00A7323A"/>
    <w:rsid w:val="00A746CC"/>
    <w:rsid w:val="00A75EFC"/>
    <w:rsid w:val="00A761B2"/>
    <w:rsid w:val="00A76CDC"/>
    <w:rsid w:val="00A76FE8"/>
    <w:rsid w:val="00A835DF"/>
    <w:rsid w:val="00A84E8A"/>
    <w:rsid w:val="00A87703"/>
    <w:rsid w:val="00A906F7"/>
    <w:rsid w:val="00A94D86"/>
    <w:rsid w:val="00AB16FC"/>
    <w:rsid w:val="00AB388A"/>
    <w:rsid w:val="00AB6E52"/>
    <w:rsid w:val="00AC0B3C"/>
    <w:rsid w:val="00AC173D"/>
    <w:rsid w:val="00AC2BA5"/>
    <w:rsid w:val="00AD1F1E"/>
    <w:rsid w:val="00AD2FF0"/>
    <w:rsid w:val="00AD3AB6"/>
    <w:rsid w:val="00AD3D1D"/>
    <w:rsid w:val="00AD4EA6"/>
    <w:rsid w:val="00AE23F1"/>
    <w:rsid w:val="00AF24B9"/>
    <w:rsid w:val="00AF383C"/>
    <w:rsid w:val="00AF68ED"/>
    <w:rsid w:val="00B015DB"/>
    <w:rsid w:val="00B01B15"/>
    <w:rsid w:val="00B0238A"/>
    <w:rsid w:val="00B0264E"/>
    <w:rsid w:val="00B05575"/>
    <w:rsid w:val="00B10D16"/>
    <w:rsid w:val="00B13BD2"/>
    <w:rsid w:val="00B15FC6"/>
    <w:rsid w:val="00B16BBD"/>
    <w:rsid w:val="00B17A75"/>
    <w:rsid w:val="00B17D9F"/>
    <w:rsid w:val="00B21907"/>
    <w:rsid w:val="00B225F0"/>
    <w:rsid w:val="00B22979"/>
    <w:rsid w:val="00B25FF7"/>
    <w:rsid w:val="00B26D4E"/>
    <w:rsid w:val="00B3095B"/>
    <w:rsid w:val="00B32B3D"/>
    <w:rsid w:val="00B33600"/>
    <w:rsid w:val="00B36B12"/>
    <w:rsid w:val="00B37826"/>
    <w:rsid w:val="00B41583"/>
    <w:rsid w:val="00B46194"/>
    <w:rsid w:val="00B47FC3"/>
    <w:rsid w:val="00B5205F"/>
    <w:rsid w:val="00B52AF4"/>
    <w:rsid w:val="00B53BC2"/>
    <w:rsid w:val="00B5580B"/>
    <w:rsid w:val="00B57861"/>
    <w:rsid w:val="00B64406"/>
    <w:rsid w:val="00B647CD"/>
    <w:rsid w:val="00B65DCD"/>
    <w:rsid w:val="00B67CD4"/>
    <w:rsid w:val="00B724CF"/>
    <w:rsid w:val="00B72883"/>
    <w:rsid w:val="00B72B25"/>
    <w:rsid w:val="00B72D22"/>
    <w:rsid w:val="00B74A76"/>
    <w:rsid w:val="00B76FF8"/>
    <w:rsid w:val="00B77635"/>
    <w:rsid w:val="00B827DE"/>
    <w:rsid w:val="00B836E2"/>
    <w:rsid w:val="00B905AA"/>
    <w:rsid w:val="00B91A17"/>
    <w:rsid w:val="00B92426"/>
    <w:rsid w:val="00B94CE0"/>
    <w:rsid w:val="00B96705"/>
    <w:rsid w:val="00BA1C83"/>
    <w:rsid w:val="00BA3EDD"/>
    <w:rsid w:val="00BA7773"/>
    <w:rsid w:val="00BB4DB2"/>
    <w:rsid w:val="00BB59BA"/>
    <w:rsid w:val="00BC053B"/>
    <w:rsid w:val="00BC1C3F"/>
    <w:rsid w:val="00BC4622"/>
    <w:rsid w:val="00BC7490"/>
    <w:rsid w:val="00BC7DD9"/>
    <w:rsid w:val="00BD04D0"/>
    <w:rsid w:val="00BD4C6C"/>
    <w:rsid w:val="00BE077C"/>
    <w:rsid w:val="00BE6B8F"/>
    <w:rsid w:val="00BF3D76"/>
    <w:rsid w:val="00BF3D9E"/>
    <w:rsid w:val="00BF4D93"/>
    <w:rsid w:val="00C00E96"/>
    <w:rsid w:val="00C028A5"/>
    <w:rsid w:val="00C042B2"/>
    <w:rsid w:val="00C065B9"/>
    <w:rsid w:val="00C12D06"/>
    <w:rsid w:val="00C139D0"/>
    <w:rsid w:val="00C13D63"/>
    <w:rsid w:val="00C26F89"/>
    <w:rsid w:val="00C2720B"/>
    <w:rsid w:val="00C3393F"/>
    <w:rsid w:val="00C35BEB"/>
    <w:rsid w:val="00C423D5"/>
    <w:rsid w:val="00C45B52"/>
    <w:rsid w:val="00C47197"/>
    <w:rsid w:val="00C51876"/>
    <w:rsid w:val="00C53B1F"/>
    <w:rsid w:val="00C54304"/>
    <w:rsid w:val="00C546C6"/>
    <w:rsid w:val="00C54878"/>
    <w:rsid w:val="00C557E5"/>
    <w:rsid w:val="00C5716B"/>
    <w:rsid w:val="00C62D03"/>
    <w:rsid w:val="00C63436"/>
    <w:rsid w:val="00C65437"/>
    <w:rsid w:val="00C704DA"/>
    <w:rsid w:val="00C70FB0"/>
    <w:rsid w:val="00C73E0D"/>
    <w:rsid w:val="00C74081"/>
    <w:rsid w:val="00C80126"/>
    <w:rsid w:val="00C81AAD"/>
    <w:rsid w:val="00C92D2C"/>
    <w:rsid w:val="00C93CFE"/>
    <w:rsid w:val="00C93F1D"/>
    <w:rsid w:val="00C976D5"/>
    <w:rsid w:val="00CA0948"/>
    <w:rsid w:val="00CA50DB"/>
    <w:rsid w:val="00CA69DA"/>
    <w:rsid w:val="00CA6F12"/>
    <w:rsid w:val="00CA73D8"/>
    <w:rsid w:val="00CB5021"/>
    <w:rsid w:val="00CB5614"/>
    <w:rsid w:val="00CB572B"/>
    <w:rsid w:val="00CB5DAD"/>
    <w:rsid w:val="00CB668E"/>
    <w:rsid w:val="00CC02EB"/>
    <w:rsid w:val="00CC1B35"/>
    <w:rsid w:val="00CD30A7"/>
    <w:rsid w:val="00CE20F7"/>
    <w:rsid w:val="00CE2FEC"/>
    <w:rsid w:val="00CF1192"/>
    <w:rsid w:val="00CF2C71"/>
    <w:rsid w:val="00CF58C5"/>
    <w:rsid w:val="00D00100"/>
    <w:rsid w:val="00D00320"/>
    <w:rsid w:val="00D04571"/>
    <w:rsid w:val="00D05317"/>
    <w:rsid w:val="00D059E0"/>
    <w:rsid w:val="00D06EE9"/>
    <w:rsid w:val="00D127DA"/>
    <w:rsid w:val="00D244FA"/>
    <w:rsid w:val="00D24FAD"/>
    <w:rsid w:val="00D261BE"/>
    <w:rsid w:val="00D267BF"/>
    <w:rsid w:val="00D27463"/>
    <w:rsid w:val="00D3351E"/>
    <w:rsid w:val="00D34214"/>
    <w:rsid w:val="00D347B1"/>
    <w:rsid w:val="00D34A80"/>
    <w:rsid w:val="00D36385"/>
    <w:rsid w:val="00D410FD"/>
    <w:rsid w:val="00D432C9"/>
    <w:rsid w:val="00D546BF"/>
    <w:rsid w:val="00D616CF"/>
    <w:rsid w:val="00D62B93"/>
    <w:rsid w:val="00D64F7C"/>
    <w:rsid w:val="00D658B5"/>
    <w:rsid w:val="00D67143"/>
    <w:rsid w:val="00D77BFE"/>
    <w:rsid w:val="00D77EF9"/>
    <w:rsid w:val="00D82A4C"/>
    <w:rsid w:val="00D83967"/>
    <w:rsid w:val="00D84D76"/>
    <w:rsid w:val="00D86976"/>
    <w:rsid w:val="00D91073"/>
    <w:rsid w:val="00D91724"/>
    <w:rsid w:val="00D92519"/>
    <w:rsid w:val="00D928C9"/>
    <w:rsid w:val="00DA01D5"/>
    <w:rsid w:val="00DA0B7F"/>
    <w:rsid w:val="00DA378F"/>
    <w:rsid w:val="00DB768B"/>
    <w:rsid w:val="00DC0F1F"/>
    <w:rsid w:val="00DC2D38"/>
    <w:rsid w:val="00DC34E2"/>
    <w:rsid w:val="00DC741A"/>
    <w:rsid w:val="00DC7E1C"/>
    <w:rsid w:val="00DD0C32"/>
    <w:rsid w:val="00DD59FD"/>
    <w:rsid w:val="00DD68B5"/>
    <w:rsid w:val="00DE1A97"/>
    <w:rsid w:val="00DF0BDD"/>
    <w:rsid w:val="00DF14D6"/>
    <w:rsid w:val="00E01BEE"/>
    <w:rsid w:val="00E1137E"/>
    <w:rsid w:val="00E168B3"/>
    <w:rsid w:val="00E20245"/>
    <w:rsid w:val="00E202EB"/>
    <w:rsid w:val="00E225E3"/>
    <w:rsid w:val="00E24F99"/>
    <w:rsid w:val="00E342BB"/>
    <w:rsid w:val="00E360D8"/>
    <w:rsid w:val="00E36A00"/>
    <w:rsid w:val="00E377F2"/>
    <w:rsid w:val="00E43BE8"/>
    <w:rsid w:val="00E45563"/>
    <w:rsid w:val="00E50C6F"/>
    <w:rsid w:val="00E52B7F"/>
    <w:rsid w:val="00E53259"/>
    <w:rsid w:val="00E54B71"/>
    <w:rsid w:val="00E54FE8"/>
    <w:rsid w:val="00E55BE3"/>
    <w:rsid w:val="00E561E5"/>
    <w:rsid w:val="00E57E88"/>
    <w:rsid w:val="00E6179A"/>
    <w:rsid w:val="00E61D8D"/>
    <w:rsid w:val="00E6722F"/>
    <w:rsid w:val="00E705BC"/>
    <w:rsid w:val="00E751AD"/>
    <w:rsid w:val="00E76C4B"/>
    <w:rsid w:val="00E772EE"/>
    <w:rsid w:val="00E80DFD"/>
    <w:rsid w:val="00E828A5"/>
    <w:rsid w:val="00E8432C"/>
    <w:rsid w:val="00E85458"/>
    <w:rsid w:val="00E85707"/>
    <w:rsid w:val="00E90915"/>
    <w:rsid w:val="00E92EB8"/>
    <w:rsid w:val="00E93173"/>
    <w:rsid w:val="00E952F0"/>
    <w:rsid w:val="00E96D53"/>
    <w:rsid w:val="00E975E5"/>
    <w:rsid w:val="00EA178E"/>
    <w:rsid w:val="00EA29E4"/>
    <w:rsid w:val="00EA3F74"/>
    <w:rsid w:val="00EA4A86"/>
    <w:rsid w:val="00EB4C9C"/>
    <w:rsid w:val="00EB59CE"/>
    <w:rsid w:val="00EB7192"/>
    <w:rsid w:val="00EC17DD"/>
    <w:rsid w:val="00EC4614"/>
    <w:rsid w:val="00ED0A23"/>
    <w:rsid w:val="00ED2D30"/>
    <w:rsid w:val="00ED3C70"/>
    <w:rsid w:val="00ED4D2D"/>
    <w:rsid w:val="00ED762F"/>
    <w:rsid w:val="00EE0D32"/>
    <w:rsid w:val="00EE1D40"/>
    <w:rsid w:val="00EE3D58"/>
    <w:rsid w:val="00EE4FC0"/>
    <w:rsid w:val="00EE7837"/>
    <w:rsid w:val="00EE7BA8"/>
    <w:rsid w:val="00EF1F4D"/>
    <w:rsid w:val="00EF5567"/>
    <w:rsid w:val="00F014D8"/>
    <w:rsid w:val="00F02DED"/>
    <w:rsid w:val="00F144F7"/>
    <w:rsid w:val="00F14D14"/>
    <w:rsid w:val="00F15DA1"/>
    <w:rsid w:val="00F17B30"/>
    <w:rsid w:val="00F24E04"/>
    <w:rsid w:val="00F267E2"/>
    <w:rsid w:val="00F279CA"/>
    <w:rsid w:val="00F27A80"/>
    <w:rsid w:val="00F30B09"/>
    <w:rsid w:val="00F32257"/>
    <w:rsid w:val="00F36BF2"/>
    <w:rsid w:val="00F36F8F"/>
    <w:rsid w:val="00F50609"/>
    <w:rsid w:val="00F608D2"/>
    <w:rsid w:val="00F615C5"/>
    <w:rsid w:val="00F625A9"/>
    <w:rsid w:val="00F67DF5"/>
    <w:rsid w:val="00F70486"/>
    <w:rsid w:val="00F75E95"/>
    <w:rsid w:val="00F76279"/>
    <w:rsid w:val="00F76CD2"/>
    <w:rsid w:val="00F8195E"/>
    <w:rsid w:val="00F83B0D"/>
    <w:rsid w:val="00F84147"/>
    <w:rsid w:val="00F860E6"/>
    <w:rsid w:val="00F86690"/>
    <w:rsid w:val="00F87B86"/>
    <w:rsid w:val="00F905A9"/>
    <w:rsid w:val="00F92B48"/>
    <w:rsid w:val="00F94113"/>
    <w:rsid w:val="00F9484C"/>
    <w:rsid w:val="00F94F14"/>
    <w:rsid w:val="00F952E9"/>
    <w:rsid w:val="00FA3677"/>
    <w:rsid w:val="00FA518F"/>
    <w:rsid w:val="00FA6BA7"/>
    <w:rsid w:val="00FA78DE"/>
    <w:rsid w:val="00FA7962"/>
    <w:rsid w:val="00FB0ADB"/>
    <w:rsid w:val="00FB5914"/>
    <w:rsid w:val="00FB654F"/>
    <w:rsid w:val="00FB7C1C"/>
    <w:rsid w:val="00FC2D86"/>
    <w:rsid w:val="00FC5233"/>
    <w:rsid w:val="00FC5BB9"/>
    <w:rsid w:val="00FD3CB5"/>
    <w:rsid w:val="00FD435C"/>
    <w:rsid w:val="00FD5412"/>
    <w:rsid w:val="00FD7B0E"/>
    <w:rsid w:val="00FE1991"/>
    <w:rsid w:val="00FE1EDB"/>
    <w:rsid w:val="00FE4488"/>
    <w:rsid w:val="00FE5092"/>
    <w:rsid w:val="00FF007A"/>
    <w:rsid w:val="00FF2A0E"/>
    <w:rsid w:val="00FF5CFB"/>
    <w:rsid w:val="00FF7F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9E35AA8-B492-4F39-95E5-A0A4DF5A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14D6"/>
    <w:rPr>
      <w:rFonts w:ascii="Arial" w:hAnsi="Arial"/>
      <w:color w:val="333333"/>
      <w:sz w:val="18"/>
      <w:szCs w:val="18"/>
      <w:lang w:eastAsia="en-US"/>
    </w:rPr>
  </w:style>
  <w:style w:type="paragraph" w:styleId="Heading1">
    <w:name w:val="heading 1"/>
    <w:basedOn w:val="Normal"/>
    <w:next w:val="Normal"/>
    <w:rsid w:val="003677BE"/>
    <w:pPr>
      <w:keepNext/>
      <w:numPr>
        <w:numId w:val="3"/>
      </w:numPr>
      <w:spacing w:before="240" w:after="240"/>
      <w:outlineLvl w:val="0"/>
    </w:pPr>
    <w:rPr>
      <w:rFonts w:cs="Arial"/>
      <w:b/>
      <w:bCs/>
      <w:sz w:val="32"/>
      <w:szCs w:val="32"/>
    </w:rPr>
  </w:style>
  <w:style w:type="paragraph" w:styleId="Heading2">
    <w:name w:val="heading 2"/>
    <w:basedOn w:val="Normal"/>
    <w:next w:val="Normal"/>
    <w:rsid w:val="003677BE"/>
    <w:pPr>
      <w:keepNext/>
      <w:numPr>
        <w:ilvl w:val="1"/>
        <w:numId w:val="3"/>
      </w:numPr>
      <w:spacing w:before="240" w:after="240"/>
      <w:outlineLvl w:val="1"/>
    </w:pPr>
    <w:rPr>
      <w:rFonts w:cs="Arial"/>
      <w:b/>
      <w:sz w:val="32"/>
      <w:szCs w:val="32"/>
    </w:rPr>
  </w:style>
  <w:style w:type="paragraph" w:styleId="Heading3">
    <w:name w:val="heading 3"/>
    <w:basedOn w:val="Normal"/>
    <w:next w:val="Normal"/>
    <w:link w:val="Heading3Char"/>
    <w:rsid w:val="003677BE"/>
    <w:pPr>
      <w:keepNext/>
      <w:numPr>
        <w:ilvl w:val="2"/>
        <w:numId w:val="3"/>
      </w:numPr>
      <w:outlineLvl w:val="2"/>
    </w:pPr>
    <w:rPr>
      <w:rFonts w:cs="Arial"/>
      <w:b/>
      <w:bCs/>
      <w:sz w:val="20"/>
      <w:szCs w:val="20"/>
    </w:rPr>
  </w:style>
  <w:style w:type="paragraph" w:styleId="Heading4">
    <w:name w:val="heading 4"/>
    <w:basedOn w:val="Normal"/>
    <w:next w:val="Normal"/>
    <w:rsid w:val="003677BE"/>
    <w:pPr>
      <w:keepNext/>
      <w:spacing w:before="240" w:after="60"/>
      <w:outlineLvl w:val="3"/>
    </w:pPr>
    <w:rPr>
      <w:b/>
      <w:bCs/>
      <w:sz w:val="20"/>
    </w:rPr>
  </w:style>
  <w:style w:type="paragraph" w:styleId="Heading5">
    <w:name w:val="heading 5"/>
    <w:basedOn w:val="Normal"/>
    <w:next w:val="Normal"/>
    <w:rsid w:val="00DF14D6"/>
    <w:pPr>
      <w:numPr>
        <w:ilvl w:val="4"/>
        <w:numId w:val="3"/>
      </w:numPr>
      <w:spacing w:before="240" w:after="60"/>
      <w:outlineLvl w:val="4"/>
    </w:pPr>
    <w:rPr>
      <w:b/>
      <w:bCs/>
      <w:i/>
      <w:iCs/>
      <w:sz w:val="26"/>
      <w:szCs w:val="26"/>
    </w:rPr>
  </w:style>
  <w:style w:type="paragraph" w:styleId="Heading6">
    <w:name w:val="heading 6"/>
    <w:basedOn w:val="Normal"/>
    <w:next w:val="Normal"/>
    <w:rsid w:val="00DF14D6"/>
    <w:pPr>
      <w:keepNext/>
      <w:numPr>
        <w:ilvl w:val="5"/>
        <w:numId w:val="3"/>
      </w:numPr>
      <w:spacing w:line="360" w:lineRule="auto"/>
      <w:outlineLvl w:val="5"/>
    </w:pPr>
    <w:rPr>
      <w:rFonts w:ascii="Interstate-Regular" w:hAnsi="Interstate-Regular"/>
      <w:b/>
      <w:bCs/>
      <w:lang w:val="en-US"/>
    </w:rPr>
  </w:style>
  <w:style w:type="paragraph" w:styleId="Heading7">
    <w:name w:val="heading 7"/>
    <w:basedOn w:val="Normal"/>
    <w:next w:val="Normal"/>
    <w:rsid w:val="00DF14D6"/>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rsid w:val="00DF14D6"/>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rsid w:val="00DF14D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77BE"/>
    <w:rPr>
      <w:rFonts w:ascii="Arial" w:hAnsi="Arial" w:cs="Arial"/>
      <w:b/>
      <w:bCs/>
      <w:color w:val="333333"/>
      <w:lang w:eastAsia="en-US"/>
    </w:rPr>
  </w:style>
  <w:style w:type="paragraph" w:styleId="Footer">
    <w:name w:val="footer"/>
    <w:basedOn w:val="Paragraphtext"/>
    <w:rsid w:val="00F267E2"/>
    <w:pPr>
      <w:tabs>
        <w:tab w:val="center" w:pos="4153"/>
        <w:tab w:val="right" w:pos="8306"/>
      </w:tabs>
      <w:jc w:val="center"/>
    </w:pPr>
    <w:rPr>
      <w:color w:val="038E9A"/>
      <w:szCs w:val="16"/>
    </w:rPr>
  </w:style>
  <w:style w:type="character" w:styleId="Hyperlink">
    <w:name w:val="Hyperlink"/>
    <w:rsid w:val="003677BE"/>
    <w:rPr>
      <w:rFonts w:ascii="Arial" w:hAnsi="Arial"/>
      <w:color w:val="333333"/>
      <w:sz w:val="18"/>
      <w:szCs w:val="18"/>
      <w:u w:val="single"/>
      <w:lang w:val="en-GB"/>
    </w:rPr>
  </w:style>
  <w:style w:type="character" w:styleId="FollowedHyperlink">
    <w:name w:val="FollowedHyperlink"/>
    <w:rsid w:val="003677BE"/>
    <w:rPr>
      <w:rFonts w:ascii="Arial" w:hAnsi="Arial"/>
      <w:color w:val="333333"/>
      <w:sz w:val="18"/>
      <w:szCs w:val="18"/>
      <w:u w:val="single"/>
      <w:lang w:val="en-GB"/>
    </w:rPr>
  </w:style>
  <w:style w:type="paragraph" w:styleId="ListNumber2">
    <w:name w:val="List Number 2"/>
    <w:basedOn w:val="Normal"/>
    <w:semiHidden/>
    <w:rsid w:val="00775574"/>
    <w:pPr>
      <w:numPr>
        <w:numId w:val="2"/>
      </w:numPr>
    </w:pPr>
  </w:style>
  <w:style w:type="paragraph" w:styleId="TOC3">
    <w:name w:val="toc 3"/>
    <w:basedOn w:val="Normal"/>
    <w:next w:val="Normal"/>
    <w:autoRedefine/>
    <w:uiPriority w:val="39"/>
    <w:semiHidden/>
    <w:rsid w:val="00A2399D"/>
    <w:pPr>
      <w:tabs>
        <w:tab w:val="left" w:pos="1200"/>
        <w:tab w:val="right" w:leader="dot" w:pos="7740"/>
      </w:tabs>
      <w:ind w:left="360"/>
    </w:pPr>
  </w:style>
  <w:style w:type="table" w:styleId="TableGrid">
    <w:name w:val="Table Grid"/>
    <w:basedOn w:val="TableNormal"/>
    <w:rsid w:val="00EB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E14"/>
    <w:rPr>
      <w:rFonts w:ascii="Tahoma" w:hAnsi="Tahoma" w:cs="Tahoma"/>
      <w:sz w:val="16"/>
      <w:szCs w:val="16"/>
    </w:rPr>
  </w:style>
  <w:style w:type="character" w:styleId="PageNumber">
    <w:name w:val="page number"/>
    <w:rsid w:val="00DF14D6"/>
    <w:rPr>
      <w:rFonts w:ascii="Arial" w:hAnsi="Arial"/>
      <w:color w:val="808080"/>
      <w:sz w:val="16"/>
      <w:szCs w:val="16"/>
    </w:rPr>
  </w:style>
  <w:style w:type="paragraph" w:styleId="TOC1">
    <w:name w:val="toc 1"/>
    <w:basedOn w:val="Normal"/>
    <w:next w:val="Normal"/>
    <w:autoRedefine/>
    <w:uiPriority w:val="39"/>
    <w:semiHidden/>
    <w:rsid w:val="005857A6"/>
    <w:pPr>
      <w:tabs>
        <w:tab w:val="left" w:pos="360"/>
        <w:tab w:val="right" w:leader="dot" w:pos="8460"/>
      </w:tabs>
      <w:spacing w:line="480" w:lineRule="auto"/>
    </w:pPr>
    <w:rPr>
      <w:b/>
      <w:sz w:val="20"/>
      <w:szCs w:val="20"/>
    </w:rPr>
  </w:style>
  <w:style w:type="paragraph" w:styleId="TOC2">
    <w:name w:val="toc 2"/>
    <w:basedOn w:val="Normal"/>
    <w:next w:val="Normal"/>
    <w:autoRedefine/>
    <w:uiPriority w:val="39"/>
    <w:semiHidden/>
    <w:rsid w:val="00623265"/>
    <w:pPr>
      <w:tabs>
        <w:tab w:val="left" w:pos="960"/>
        <w:tab w:val="right" w:leader="dot" w:pos="8460"/>
      </w:tabs>
      <w:ind w:left="360"/>
    </w:pPr>
  </w:style>
  <w:style w:type="numbering" w:styleId="111111">
    <w:name w:val="Outline List 2"/>
    <w:basedOn w:val="NoList"/>
    <w:semiHidden/>
    <w:rsid w:val="001917EA"/>
    <w:pPr>
      <w:numPr>
        <w:numId w:val="1"/>
      </w:numPr>
    </w:pPr>
  </w:style>
  <w:style w:type="character" w:styleId="CommentReference">
    <w:name w:val="annotation reference"/>
    <w:uiPriority w:val="99"/>
    <w:semiHidden/>
    <w:rsid w:val="00340E4A"/>
    <w:rPr>
      <w:sz w:val="16"/>
      <w:szCs w:val="16"/>
    </w:rPr>
  </w:style>
  <w:style w:type="paragraph" w:styleId="CommentText">
    <w:name w:val="annotation text"/>
    <w:basedOn w:val="Normal"/>
    <w:semiHidden/>
    <w:rsid w:val="00340E4A"/>
    <w:rPr>
      <w:sz w:val="20"/>
      <w:szCs w:val="20"/>
    </w:rPr>
  </w:style>
  <w:style w:type="paragraph" w:styleId="CommentSubject">
    <w:name w:val="annotation subject"/>
    <w:basedOn w:val="CommentText"/>
    <w:next w:val="CommentText"/>
    <w:semiHidden/>
    <w:rsid w:val="00340E4A"/>
    <w:rPr>
      <w:b/>
      <w:bCs/>
    </w:rPr>
  </w:style>
  <w:style w:type="paragraph" w:customStyle="1" w:styleId="ECF-Heading2">
    <w:name w:val="ECF-Heading 2"/>
    <w:basedOn w:val="ECF-Heading1"/>
    <w:next w:val="Heading2"/>
    <w:qFormat/>
    <w:rsid w:val="0093210A"/>
    <w:rPr>
      <w:color w:val="EFCE0C"/>
    </w:rPr>
  </w:style>
  <w:style w:type="paragraph" w:customStyle="1" w:styleId="Paragraph1">
    <w:name w:val="Paragraph 1"/>
    <w:basedOn w:val="Normal"/>
    <w:next w:val="Paragraphtext"/>
    <w:rsid w:val="00D059E0"/>
    <w:rPr>
      <w:rFonts w:ascii="Futura" w:hAnsi="Futura"/>
      <w:sz w:val="24"/>
      <w:lang w:val="en-US"/>
    </w:rPr>
  </w:style>
  <w:style w:type="paragraph" w:styleId="ListParagraph">
    <w:name w:val="List Paragraph"/>
    <w:basedOn w:val="Normal"/>
    <w:uiPriority w:val="34"/>
    <w:qFormat/>
    <w:rsid w:val="00A06FB8"/>
    <w:pPr>
      <w:ind w:left="720"/>
      <w:contextualSpacing/>
    </w:pPr>
  </w:style>
  <w:style w:type="character" w:customStyle="1" w:styleId="mw-headline">
    <w:name w:val="mw-headline"/>
    <w:basedOn w:val="DefaultParagraphFont"/>
    <w:rsid w:val="00BC1C3F"/>
  </w:style>
  <w:style w:type="paragraph" w:customStyle="1" w:styleId="ECF-Heading1">
    <w:name w:val="ECF-Heading 1"/>
    <w:basedOn w:val="Normal"/>
    <w:next w:val="Paragraphtext"/>
    <w:link w:val="ECF-Heading1Char"/>
    <w:qFormat/>
    <w:rsid w:val="0093210A"/>
    <w:pPr>
      <w:tabs>
        <w:tab w:val="center" w:pos="4153"/>
        <w:tab w:val="right" w:pos="8306"/>
      </w:tabs>
      <w:spacing w:before="120" w:after="120"/>
    </w:pPr>
    <w:rPr>
      <w:rFonts w:ascii="FuturaBold Ro" w:hAnsi="FuturaBold Ro" w:cs="Arial"/>
      <w:bCs/>
      <w:color w:val="0092AA"/>
      <w:spacing w:val="-22"/>
      <w:sz w:val="36"/>
      <w:szCs w:val="32"/>
    </w:rPr>
  </w:style>
  <w:style w:type="paragraph" w:customStyle="1" w:styleId="Paragraphtext">
    <w:name w:val="Paragraph text"/>
    <w:basedOn w:val="Normal"/>
    <w:link w:val="ParagraphtextChar"/>
    <w:qFormat/>
    <w:rsid w:val="00CE2FEC"/>
    <w:pPr>
      <w:spacing w:after="120"/>
      <w:contextualSpacing/>
      <w:jc w:val="both"/>
    </w:pPr>
    <w:rPr>
      <w:rFonts w:ascii="FuturaTEE" w:hAnsi="FuturaTEE"/>
      <w:color w:val="055068"/>
      <w:sz w:val="24"/>
      <w:lang w:val="en-US"/>
    </w:rPr>
  </w:style>
  <w:style w:type="paragraph" w:styleId="Header">
    <w:name w:val="header"/>
    <w:basedOn w:val="Normal"/>
    <w:link w:val="HeaderChar"/>
    <w:uiPriority w:val="99"/>
    <w:rsid w:val="00463145"/>
    <w:pPr>
      <w:tabs>
        <w:tab w:val="center" w:pos="4320"/>
        <w:tab w:val="right" w:pos="8640"/>
      </w:tabs>
    </w:pPr>
  </w:style>
  <w:style w:type="character" w:customStyle="1" w:styleId="HeaderChar">
    <w:name w:val="Header Char"/>
    <w:link w:val="Header"/>
    <w:uiPriority w:val="99"/>
    <w:rsid w:val="00463145"/>
    <w:rPr>
      <w:rFonts w:ascii="Arial" w:hAnsi="Arial"/>
      <w:color w:val="333333"/>
      <w:sz w:val="18"/>
      <w:szCs w:val="18"/>
      <w:lang w:val="en-GB"/>
    </w:rPr>
  </w:style>
  <w:style w:type="paragraph" w:customStyle="1" w:styleId="IntroMEPBriefing">
    <w:name w:val="Intro MEP Briefing"/>
    <w:basedOn w:val="Normal"/>
    <w:link w:val="IntroMEPBriefingChar"/>
    <w:rsid w:val="00B47FC3"/>
    <w:pPr>
      <w:widowControl w:val="0"/>
      <w:autoSpaceDE w:val="0"/>
      <w:autoSpaceDN w:val="0"/>
      <w:adjustRightInd w:val="0"/>
      <w:spacing w:before="10"/>
      <w:ind w:left="1083" w:right="60"/>
      <w:jc w:val="both"/>
    </w:pPr>
    <w:rPr>
      <w:rFonts w:ascii="Corbel" w:hAnsi="Corbel"/>
      <w:color w:val="000000"/>
      <w:spacing w:val="-1"/>
      <w:sz w:val="24"/>
      <w:szCs w:val="24"/>
    </w:rPr>
  </w:style>
  <w:style w:type="paragraph" w:styleId="EndnoteText">
    <w:name w:val="endnote text"/>
    <w:basedOn w:val="Normal"/>
    <w:link w:val="EndnoteTextChar"/>
    <w:uiPriority w:val="99"/>
    <w:unhideWhenUsed/>
    <w:rsid w:val="00B47FC3"/>
    <w:rPr>
      <w:rFonts w:ascii="Calibri" w:hAnsi="Calibri"/>
      <w:color w:val="auto"/>
      <w:sz w:val="20"/>
      <w:szCs w:val="20"/>
      <w:lang w:val="en-US"/>
    </w:rPr>
  </w:style>
  <w:style w:type="character" w:customStyle="1" w:styleId="EndnoteTextChar">
    <w:name w:val="Endnote Text Char"/>
    <w:link w:val="EndnoteText"/>
    <w:uiPriority w:val="99"/>
    <w:rsid w:val="00B47FC3"/>
    <w:rPr>
      <w:rFonts w:ascii="Calibri" w:hAnsi="Calibri"/>
      <w:sz w:val="20"/>
      <w:szCs w:val="20"/>
    </w:rPr>
  </w:style>
  <w:style w:type="character" w:customStyle="1" w:styleId="IntroMEPBriefingChar">
    <w:name w:val="Intro MEP Briefing Char"/>
    <w:link w:val="IntroMEPBriefing"/>
    <w:rsid w:val="00B47FC3"/>
    <w:rPr>
      <w:rFonts w:ascii="Corbel" w:hAnsi="Corbel"/>
      <w:color w:val="000000"/>
      <w:spacing w:val="-1"/>
    </w:rPr>
  </w:style>
  <w:style w:type="character" w:styleId="EndnoteReference">
    <w:name w:val="endnote reference"/>
    <w:uiPriority w:val="99"/>
    <w:unhideWhenUsed/>
    <w:rsid w:val="00B47FC3"/>
    <w:rPr>
      <w:vertAlign w:val="superscript"/>
    </w:rPr>
  </w:style>
  <w:style w:type="character" w:styleId="FootnoteReference">
    <w:name w:val="footnote reference"/>
    <w:rsid w:val="00B47FC3"/>
    <w:rPr>
      <w:rFonts w:cs="Times New Roman"/>
      <w:vertAlign w:val="superscript"/>
    </w:rPr>
  </w:style>
  <w:style w:type="paragraph" w:styleId="ListNumber">
    <w:name w:val="List Number"/>
    <w:basedOn w:val="Normal"/>
    <w:rsid w:val="009C743E"/>
    <w:pPr>
      <w:numPr>
        <w:numId w:val="4"/>
      </w:numPr>
      <w:contextualSpacing/>
    </w:pPr>
  </w:style>
  <w:style w:type="character" w:customStyle="1" w:styleId="apple-style-span">
    <w:name w:val="apple-style-span"/>
    <w:basedOn w:val="DefaultParagraphFont"/>
    <w:rsid w:val="009C743E"/>
  </w:style>
  <w:style w:type="paragraph" w:styleId="NoSpacing">
    <w:name w:val="No Spacing"/>
    <w:aliases w:val="Clear formatting"/>
    <w:link w:val="NoSpacingChar"/>
    <w:uiPriority w:val="1"/>
    <w:qFormat/>
    <w:rsid w:val="009C743E"/>
    <w:rPr>
      <w:rFonts w:ascii="Calibri" w:eastAsia="Calibri" w:hAnsi="Calibri"/>
      <w:sz w:val="22"/>
      <w:szCs w:val="22"/>
      <w:lang w:val="en-US" w:eastAsia="en-US"/>
    </w:rPr>
  </w:style>
  <w:style w:type="character" w:customStyle="1" w:styleId="NoSpacingChar">
    <w:name w:val="No Spacing Char"/>
    <w:aliases w:val="Clear formatting Char"/>
    <w:link w:val="NoSpacing"/>
    <w:uiPriority w:val="1"/>
    <w:rsid w:val="009C743E"/>
    <w:rPr>
      <w:rFonts w:ascii="Calibri" w:eastAsia="Calibri" w:hAnsi="Calibri"/>
      <w:sz w:val="22"/>
      <w:szCs w:val="22"/>
    </w:rPr>
  </w:style>
  <w:style w:type="paragraph" w:styleId="ListBullet">
    <w:name w:val="List Bullet"/>
    <w:basedOn w:val="Normal"/>
    <w:rsid w:val="009C743E"/>
    <w:pPr>
      <w:numPr>
        <w:numId w:val="5"/>
      </w:numPr>
      <w:spacing w:before="120" w:after="120"/>
      <w:jc w:val="both"/>
    </w:pPr>
    <w:rPr>
      <w:rFonts w:ascii="Times New Roman" w:hAnsi="Times New Roman"/>
      <w:color w:val="auto"/>
      <w:sz w:val="24"/>
      <w:szCs w:val="24"/>
      <w:lang w:eastAsia="de-DE"/>
    </w:rPr>
  </w:style>
  <w:style w:type="paragraph" w:customStyle="1" w:styleId="Endnotes">
    <w:name w:val="Endnotes"/>
    <w:basedOn w:val="Normal"/>
    <w:link w:val="EndnotesChar"/>
    <w:qFormat/>
    <w:rsid w:val="00D616CF"/>
    <w:pPr>
      <w:widowControl w:val="0"/>
      <w:autoSpaceDE w:val="0"/>
      <w:autoSpaceDN w:val="0"/>
      <w:adjustRightInd w:val="0"/>
      <w:spacing w:line="226" w:lineRule="exact"/>
      <w:ind w:left="119" w:right="-26"/>
      <w:jc w:val="both"/>
    </w:pPr>
    <w:rPr>
      <w:rFonts w:ascii="Futura Lt BT" w:hAnsi="Futura Lt BT"/>
      <w:color w:val="808080"/>
      <w:spacing w:val="2"/>
      <w:position w:val="1"/>
      <w:sz w:val="16"/>
      <w:szCs w:val="20"/>
    </w:rPr>
  </w:style>
  <w:style w:type="character" w:customStyle="1" w:styleId="EndnotesChar">
    <w:name w:val="Endnotes Char"/>
    <w:link w:val="Endnotes"/>
    <w:rsid w:val="00D616CF"/>
    <w:rPr>
      <w:rFonts w:ascii="Futura Lt BT" w:hAnsi="Futura Lt BT"/>
      <w:color w:val="808080"/>
      <w:spacing w:val="2"/>
      <w:position w:val="1"/>
      <w:sz w:val="16"/>
      <w:szCs w:val="20"/>
    </w:rPr>
  </w:style>
  <w:style w:type="paragraph" w:customStyle="1" w:styleId="ECFItalics">
    <w:name w:val="ECF Italics"/>
    <w:basedOn w:val="ECF-Heading1"/>
    <w:link w:val="ECFItalicsChar"/>
    <w:rsid w:val="009C743E"/>
  </w:style>
  <w:style w:type="paragraph" w:customStyle="1" w:styleId="ECFboldtext">
    <w:name w:val="ECF_bold text"/>
    <w:basedOn w:val="Normal"/>
    <w:link w:val="ECFboldtextChar"/>
    <w:qFormat/>
    <w:rsid w:val="00CE2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FuturaBold Ro" w:hAnsi="FuturaBold Ro" w:cs="Futura"/>
      <w:color w:val="0092AA"/>
      <w:sz w:val="24"/>
      <w:szCs w:val="24"/>
      <w:lang w:val="en-US"/>
    </w:rPr>
  </w:style>
  <w:style w:type="character" w:customStyle="1" w:styleId="ECF-Heading1Char">
    <w:name w:val="ECF-Heading 1 Char"/>
    <w:link w:val="ECF-Heading1"/>
    <w:rsid w:val="0093210A"/>
    <w:rPr>
      <w:rFonts w:ascii="FuturaBold Ro" w:hAnsi="FuturaBold Ro" w:cs="Arial"/>
      <w:bCs/>
      <w:color w:val="0092AA"/>
      <w:spacing w:val="-22"/>
      <w:sz w:val="36"/>
      <w:szCs w:val="32"/>
      <w:lang w:val="en-GB"/>
    </w:rPr>
  </w:style>
  <w:style w:type="character" w:customStyle="1" w:styleId="ECFItalicsChar">
    <w:name w:val="ECF Italics Char"/>
    <w:link w:val="ECFItalics"/>
    <w:rsid w:val="009C743E"/>
    <w:rPr>
      <w:rFonts w:ascii="Futura Lt BT" w:hAnsi="Futura Lt BT" w:cs="Arial"/>
      <w:bCs/>
      <w:color w:val="038E9A"/>
      <w:spacing w:val="-22"/>
      <w:sz w:val="36"/>
      <w:szCs w:val="32"/>
      <w:lang w:val="en-GB"/>
    </w:rPr>
  </w:style>
  <w:style w:type="character" w:customStyle="1" w:styleId="ECFboldtextChar">
    <w:name w:val="ECF_bold text Char"/>
    <w:link w:val="ECFboldtext"/>
    <w:rsid w:val="00CE2FEC"/>
    <w:rPr>
      <w:rFonts w:ascii="FuturaBold Ro" w:hAnsi="FuturaBold Ro" w:cs="Futura"/>
      <w:color w:val="0092AA"/>
    </w:rPr>
  </w:style>
  <w:style w:type="paragraph" w:customStyle="1" w:styleId="TextboxStyle">
    <w:name w:val="Text box Style"/>
    <w:basedOn w:val="Normal"/>
    <w:link w:val="TextboxStyleChar"/>
    <w:qFormat/>
    <w:rsid w:val="00CE2FEC"/>
    <w:pPr>
      <w:shd w:val="clear" w:color="auto" w:fill="B1CB31"/>
      <w:jc w:val="both"/>
    </w:pPr>
    <w:rPr>
      <w:rFonts w:ascii="Futura Lt BT" w:hAnsi="Futura Lt BT" w:cs="Arial"/>
      <w:color w:val="FFFFFF"/>
      <w:sz w:val="24"/>
      <w:szCs w:val="24"/>
    </w:rPr>
  </w:style>
  <w:style w:type="paragraph" w:customStyle="1" w:styleId="H2">
    <w:name w:val="H2"/>
    <w:basedOn w:val="Normal"/>
    <w:next w:val="Heading2"/>
    <w:rsid w:val="00207354"/>
    <w:pPr>
      <w:tabs>
        <w:tab w:val="center" w:pos="4153"/>
        <w:tab w:val="right" w:pos="8306"/>
      </w:tabs>
    </w:pPr>
    <w:rPr>
      <w:rFonts w:ascii="Futura Lt BT" w:hAnsi="Futura Lt BT"/>
      <w:color w:val="038E9A"/>
      <w:sz w:val="32"/>
      <w:szCs w:val="32"/>
    </w:rPr>
  </w:style>
  <w:style w:type="character" w:customStyle="1" w:styleId="TextboxStyleChar">
    <w:name w:val="Text box Style Char"/>
    <w:link w:val="TextboxStyle"/>
    <w:rsid w:val="00CE2FEC"/>
    <w:rPr>
      <w:rFonts w:ascii="Futura Lt BT" w:hAnsi="Futura Lt BT" w:cs="Arial"/>
      <w:color w:val="FFFFFF"/>
      <w:shd w:val="clear" w:color="auto" w:fill="B1CB31"/>
      <w:lang w:val="en-GB"/>
    </w:rPr>
  </w:style>
  <w:style w:type="character" w:styleId="PlaceholderText">
    <w:name w:val="Placeholder Text"/>
    <w:rsid w:val="004A2010"/>
    <w:rPr>
      <w:color w:val="808080"/>
    </w:rPr>
  </w:style>
  <w:style w:type="paragraph" w:customStyle="1" w:styleId="Bulletlist">
    <w:name w:val="Bullet list"/>
    <w:basedOn w:val="Paragraphtext"/>
    <w:link w:val="BulletlistChar"/>
    <w:qFormat/>
    <w:rsid w:val="00CE2FEC"/>
    <w:pPr>
      <w:numPr>
        <w:numId w:val="6"/>
      </w:numPr>
    </w:pPr>
  </w:style>
  <w:style w:type="paragraph" w:customStyle="1" w:styleId="Picturecaption">
    <w:name w:val="Picture caption"/>
    <w:basedOn w:val="Normal"/>
    <w:link w:val="PicturecaptionChar"/>
    <w:qFormat/>
    <w:rsid w:val="0009793C"/>
    <w:pPr>
      <w:ind w:left="360"/>
      <w:jc w:val="both"/>
    </w:pPr>
    <w:rPr>
      <w:rFonts w:ascii="FuturaTEE" w:hAnsi="FuturaTEE" w:cs="Arial"/>
      <w:color w:val="055068"/>
      <w:sz w:val="20"/>
      <w:szCs w:val="20"/>
    </w:rPr>
  </w:style>
  <w:style w:type="character" w:customStyle="1" w:styleId="ParagraphtextChar">
    <w:name w:val="Paragraph text Char"/>
    <w:link w:val="Paragraphtext"/>
    <w:rsid w:val="00CE2FEC"/>
    <w:rPr>
      <w:rFonts w:ascii="FuturaTEE" w:hAnsi="FuturaTEE"/>
      <w:color w:val="055068"/>
      <w:szCs w:val="18"/>
    </w:rPr>
  </w:style>
  <w:style w:type="character" w:customStyle="1" w:styleId="BulletlistChar">
    <w:name w:val="Bullet list Char"/>
    <w:link w:val="Bulletlist"/>
    <w:rsid w:val="00CE2FEC"/>
    <w:rPr>
      <w:rFonts w:ascii="FuturaTEE" w:hAnsi="FuturaTEE"/>
      <w:color w:val="055068"/>
      <w:sz w:val="24"/>
      <w:szCs w:val="18"/>
      <w:lang w:val="en-US" w:eastAsia="en-US"/>
    </w:rPr>
  </w:style>
  <w:style w:type="character" w:customStyle="1" w:styleId="PicturecaptionChar">
    <w:name w:val="Picture caption Char"/>
    <w:link w:val="Picturecaption"/>
    <w:rsid w:val="0009793C"/>
    <w:rPr>
      <w:rFonts w:ascii="FuturaTEE" w:hAnsi="FuturaTEE" w:cs="Arial"/>
      <w:color w:val="055068"/>
      <w:sz w:val="20"/>
      <w:szCs w:val="20"/>
      <w:lang w:val="en-GB"/>
    </w:rPr>
  </w:style>
  <w:style w:type="paragraph" w:customStyle="1" w:styleId="ECF-heading3">
    <w:name w:val="ECF-heading 3"/>
    <w:basedOn w:val="ECF-Heading2"/>
    <w:link w:val="ECF-heading3Char"/>
    <w:qFormat/>
    <w:rsid w:val="00CE2FEC"/>
    <w:rPr>
      <w:color w:val="B1CB31"/>
      <w:sz w:val="28"/>
      <w:szCs w:val="28"/>
    </w:rPr>
  </w:style>
  <w:style w:type="character" w:customStyle="1" w:styleId="ECF-heading3Char">
    <w:name w:val="ECF-heading 3 Char"/>
    <w:link w:val="ECF-heading3"/>
    <w:rsid w:val="00CE2FEC"/>
    <w:rPr>
      <w:rFonts w:ascii="FuturaBold Ro" w:hAnsi="FuturaBold Ro" w:cs="Arial"/>
      <w:bCs/>
      <w:color w:val="B1CB31"/>
      <w:spacing w:val="-22"/>
      <w:sz w:val="28"/>
      <w:szCs w:val="28"/>
      <w:lang w:val="en-GB"/>
    </w:rPr>
  </w:style>
  <w:style w:type="character" w:styleId="Emphasis">
    <w:name w:val="Emphasis"/>
    <w:uiPriority w:val="20"/>
    <w:qFormat/>
    <w:rsid w:val="000C0929"/>
    <w:rPr>
      <w:iCs/>
      <w:color w:val="EFCE0C"/>
    </w:rPr>
  </w:style>
  <w:style w:type="paragraph" w:customStyle="1" w:styleId="LEVEL1">
    <w:name w:val="LEVEL1"/>
    <w:basedOn w:val="ECF-Heading1"/>
    <w:link w:val="LEVEL1Char"/>
    <w:qFormat/>
    <w:rsid w:val="00127B2D"/>
  </w:style>
  <w:style w:type="paragraph" w:customStyle="1" w:styleId="LEVEL2">
    <w:name w:val="LEVEL2"/>
    <w:basedOn w:val="LEVEL1"/>
    <w:link w:val="LEVEL2Char"/>
    <w:qFormat/>
    <w:rsid w:val="00320936"/>
    <w:pPr>
      <w:numPr>
        <w:ilvl w:val="1"/>
      </w:numPr>
      <w:tabs>
        <w:tab w:val="clear" w:pos="4153"/>
        <w:tab w:val="center" w:pos="1080"/>
      </w:tabs>
    </w:pPr>
    <w:rPr>
      <w:color w:val="EFCE0C"/>
      <w:sz w:val="32"/>
    </w:rPr>
  </w:style>
  <w:style w:type="character" w:customStyle="1" w:styleId="LEVEL1Char">
    <w:name w:val="LEVEL1 Char"/>
    <w:link w:val="LEVEL1"/>
    <w:rsid w:val="00127B2D"/>
    <w:rPr>
      <w:rFonts w:ascii="Futura Lt BT" w:hAnsi="Futura Lt BT" w:cs="Arial"/>
      <w:bCs/>
      <w:color w:val="038E9A"/>
      <w:spacing w:val="-22"/>
      <w:sz w:val="36"/>
      <w:szCs w:val="32"/>
      <w:lang w:val="en-GB"/>
    </w:rPr>
  </w:style>
  <w:style w:type="paragraph" w:customStyle="1" w:styleId="LEVEL3">
    <w:name w:val="LEVEL3"/>
    <w:basedOn w:val="LEVEL2"/>
    <w:link w:val="LEVEL3Char"/>
    <w:qFormat/>
    <w:rsid w:val="00320936"/>
    <w:pPr>
      <w:numPr>
        <w:ilvl w:val="2"/>
      </w:numPr>
      <w:tabs>
        <w:tab w:val="clear" w:pos="1080"/>
        <w:tab w:val="center" w:pos="1620"/>
      </w:tabs>
    </w:pPr>
    <w:rPr>
      <w:color w:val="B1CB31"/>
      <w:sz w:val="28"/>
      <w:szCs w:val="28"/>
    </w:rPr>
  </w:style>
  <w:style w:type="character" w:customStyle="1" w:styleId="LEVEL2Char">
    <w:name w:val="LEVEL2 Char"/>
    <w:link w:val="LEVEL2"/>
    <w:rsid w:val="00320936"/>
    <w:rPr>
      <w:rFonts w:ascii="FuturaBold Ro" w:hAnsi="FuturaBold Ro" w:cs="Arial"/>
      <w:bCs/>
      <w:color w:val="EFCE0C"/>
      <w:spacing w:val="-22"/>
      <w:sz w:val="32"/>
      <w:szCs w:val="32"/>
      <w:lang w:val="en-GB"/>
    </w:rPr>
  </w:style>
  <w:style w:type="paragraph" w:customStyle="1" w:styleId="LEVEL4">
    <w:name w:val="LEVEL4"/>
    <w:basedOn w:val="LEVEL3"/>
    <w:link w:val="LEVEL4Char"/>
    <w:qFormat/>
    <w:rsid w:val="00320936"/>
    <w:pPr>
      <w:numPr>
        <w:ilvl w:val="3"/>
      </w:numPr>
      <w:tabs>
        <w:tab w:val="clear" w:pos="1620"/>
        <w:tab w:val="center" w:pos="2160"/>
      </w:tabs>
    </w:pPr>
    <w:rPr>
      <w:color w:val="B31F3B"/>
      <w:sz w:val="24"/>
      <w:szCs w:val="24"/>
    </w:rPr>
  </w:style>
  <w:style w:type="character" w:customStyle="1" w:styleId="LEVEL3Char">
    <w:name w:val="LEVEL3 Char"/>
    <w:link w:val="LEVEL3"/>
    <w:rsid w:val="00320936"/>
    <w:rPr>
      <w:rFonts w:ascii="FuturaBold Ro" w:hAnsi="FuturaBold Ro" w:cs="Arial"/>
      <w:bCs/>
      <w:color w:val="B1CB31"/>
      <w:spacing w:val="-22"/>
      <w:sz w:val="28"/>
      <w:szCs w:val="28"/>
      <w:lang w:val="en-GB"/>
    </w:rPr>
  </w:style>
  <w:style w:type="character" w:customStyle="1" w:styleId="LEVEL4Char">
    <w:name w:val="LEVEL4 Char"/>
    <w:link w:val="LEVEL4"/>
    <w:rsid w:val="00320936"/>
    <w:rPr>
      <w:rFonts w:ascii="FuturaBold Ro" w:hAnsi="FuturaBold Ro" w:cs="Arial"/>
      <w:bCs/>
      <w:color w:val="B31F3B"/>
      <w:spacing w:val="-22"/>
      <w:sz w:val="28"/>
      <w:szCs w:val="28"/>
      <w:lang w:val="en-GB"/>
    </w:rPr>
  </w:style>
  <w:style w:type="paragraph" w:styleId="FootnoteText">
    <w:name w:val="footnote text"/>
    <w:basedOn w:val="Normal"/>
    <w:link w:val="FootnoteTextChar"/>
    <w:rsid w:val="00B76FF8"/>
    <w:rPr>
      <w:sz w:val="20"/>
      <w:szCs w:val="20"/>
    </w:rPr>
  </w:style>
  <w:style w:type="character" w:customStyle="1" w:styleId="FootnoteTextChar">
    <w:name w:val="Footnote Text Char"/>
    <w:link w:val="FootnoteText"/>
    <w:rsid w:val="00B76FF8"/>
    <w:rPr>
      <w:rFonts w:ascii="Arial" w:hAnsi="Arial"/>
      <w:color w:val="333333"/>
      <w:sz w:val="20"/>
      <w:szCs w:val="20"/>
      <w:lang w:val="en-GB"/>
    </w:rPr>
  </w:style>
  <w:style w:type="paragraph" w:customStyle="1" w:styleId="ECF-List">
    <w:name w:val="ECF-List"/>
    <w:basedOn w:val="Normal"/>
    <w:qFormat/>
    <w:rsid w:val="00206C8A"/>
    <w:pPr>
      <w:spacing w:after="120"/>
      <w:ind w:left="720" w:hanging="360"/>
      <w:contextualSpacing/>
      <w:jc w:val="both"/>
    </w:pPr>
    <w:rPr>
      <w:rFonts w:ascii="Futura Lt BT" w:hAnsi="Futura Lt BT"/>
      <w:sz w:val="24"/>
      <w:lang w:val="en-US"/>
    </w:rPr>
  </w:style>
  <w:style w:type="table" w:styleId="GridTable4-Accent3">
    <w:name w:val="Grid Table 4 Accent 3"/>
    <w:basedOn w:val="TableNormal"/>
    <w:uiPriority w:val="49"/>
    <w:rsid w:val="00CE2FEC"/>
    <w:tblPr>
      <w:tblStyleRowBandSize w:val="1"/>
      <w:tblStyleColBandSize w:val="1"/>
      <w:tblBorders>
        <w:top w:val="single" w:sz="4" w:space="0" w:color="F7E26A"/>
        <w:left w:val="single" w:sz="4" w:space="0" w:color="F7E26A"/>
        <w:bottom w:val="single" w:sz="4" w:space="0" w:color="F7E26A"/>
        <w:right w:val="single" w:sz="4" w:space="0" w:color="F7E26A"/>
        <w:insideH w:val="single" w:sz="4" w:space="0" w:color="F7E26A"/>
        <w:insideV w:val="single" w:sz="4" w:space="0" w:color="F7E26A"/>
      </w:tblBorders>
    </w:tblPr>
    <w:tblStylePr w:type="firstRow">
      <w:rPr>
        <w:b/>
        <w:bCs/>
        <w:color w:val="FFFFFF"/>
      </w:rPr>
      <w:tblPr/>
      <w:tcPr>
        <w:tcBorders>
          <w:top w:val="single" w:sz="4" w:space="0" w:color="EFCE0C"/>
          <w:left w:val="single" w:sz="4" w:space="0" w:color="EFCE0C"/>
          <w:bottom w:val="single" w:sz="4" w:space="0" w:color="EFCE0C"/>
          <w:right w:val="single" w:sz="4" w:space="0" w:color="EFCE0C"/>
          <w:insideH w:val="nil"/>
          <w:insideV w:val="nil"/>
        </w:tcBorders>
        <w:shd w:val="clear" w:color="auto" w:fill="EFCE0C"/>
      </w:tcPr>
    </w:tblStylePr>
    <w:tblStylePr w:type="lastRow">
      <w:rPr>
        <w:b/>
        <w:bCs/>
      </w:rPr>
      <w:tblPr/>
      <w:tcPr>
        <w:tcBorders>
          <w:top w:val="double" w:sz="4" w:space="0" w:color="EFCE0C"/>
        </w:tcBorders>
      </w:tcPr>
    </w:tblStylePr>
    <w:tblStylePr w:type="firstCol">
      <w:rPr>
        <w:b/>
        <w:bCs/>
      </w:rPr>
    </w:tblStylePr>
    <w:tblStylePr w:type="lastCol">
      <w:rPr>
        <w:b/>
        <w:bCs/>
      </w:rPr>
    </w:tblStylePr>
    <w:tblStylePr w:type="band1Vert">
      <w:tblPr/>
      <w:tcPr>
        <w:shd w:val="clear" w:color="auto" w:fill="FCF5CD"/>
      </w:tcPr>
    </w:tblStylePr>
    <w:tblStylePr w:type="band1Horz">
      <w:tblPr/>
      <w:tcPr>
        <w:shd w:val="clear" w:color="auto" w:fill="FCF5CD"/>
      </w:tcPr>
    </w:tblStylePr>
  </w:style>
  <w:style w:type="paragraph" w:customStyle="1" w:styleId="Style1">
    <w:name w:val="Style1"/>
    <w:basedOn w:val="Paragraphtext"/>
    <w:link w:val="Style1Char"/>
    <w:qFormat/>
    <w:rsid w:val="001D7E6D"/>
    <w:pPr>
      <w:ind w:left="851" w:right="900"/>
    </w:pPr>
    <w:rPr>
      <w:lang w:val="en-GB"/>
    </w:rPr>
  </w:style>
  <w:style w:type="character" w:customStyle="1" w:styleId="Style1Char">
    <w:name w:val="Style1 Char"/>
    <w:basedOn w:val="ParagraphtextChar"/>
    <w:link w:val="Style1"/>
    <w:rsid w:val="001D7E6D"/>
    <w:rPr>
      <w:rFonts w:ascii="FuturaTEE" w:hAnsi="FuturaTEE"/>
      <w:color w:val="055068"/>
      <w:sz w:val="24"/>
      <w:szCs w:val="18"/>
      <w:lang w:eastAsia="en-US"/>
    </w:rPr>
  </w:style>
  <w:style w:type="character" w:customStyle="1" w:styleId="UnresolvedMention">
    <w:name w:val="Unresolved Mention"/>
    <w:basedOn w:val="DefaultParagraphFont"/>
    <w:uiPriority w:val="99"/>
    <w:semiHidden/>
    <w:unhideWhenUsed/>
    <w:rsid w:val="00C73E0D"/>
    <w:rPr>
      <w:color w:val="808080"/>
      <w:shd w:val="clear" w:color="auto" w:fill="E6E6E6"/>
    </w:rPr>
  </w:style>
  <w:style w:type="character" w:customStyle="1" w:styleId="fontstyle01">
    <w:name w:val="fontstyle01"/>
    <w:basedOn w:val="DefaultParagraphFont"/>
    <w:rsid w:val="00387DCC"/>
    <w:rPr>
      <w:rFonts w:ascii="OneGulliverA" w:hAnsi="OneGulliverA" w:hint="default"/>
      <w:b w:val="0"/>
      <w:bCs w:val="0"/>
      <w:i w:val="0"/>
      <w:iCs w:val="0"/>
      <w:color w:val="000000"/>
      <w:sz w:val="14"/>
      <w:szCs w:val="14"/>
    </w:rPr>
  </w:style>
  <w:style w:type="character" w:customStyle="1" w:styleId="st">
    <w:name w:val="st"/>
    <w:basedOn w:val="DefaultParagraphFont"/>
    <w:rsid w:val="00190AA5"/>
  </w:style>
  <w:style w:type="paragraph" w:styleId="Caption">
    <w:name w:val="caption"/>
    <w:basedOn w:val="Normal"/>
    <w:next w:val="Normal"/>
    <w:unhideWhenUsed/>
    <w:rsid w:val="00A645C3"/>
    <w:pPr>
      <w:spacing w:after="200"/>
    </w:pPr>
    <w:rPr>
      <w:i/>
      <w:iCs/>
      <w:color w:val="44546A" w:themeColor="text2"/>
    </w:rPr>
  </w:style>
  <w:style w:type="character" w:customStyle="1" w:styleId="shorttext">
    <w:name w:val="short_text"/>
    <w:basedOn w:val="DefaultParagraphFont"/>
    <w:rsid w:val="00484087"/>
  </w:style>
  <w:style w:type="character" w:customStyle="1" w:styleId="cwcot">
    <w:name w:val="cwcot"/>
    <w:basedOn w:val="DefaultParagraphFont"/>
    <w:rsid w:val="000B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7365">
      <w:bodyDiv w:val="1"/>
      <w:marLeft w:val="0"/>
      <w:marRight w:val="0"/>
      <w:marTop w:val="0"/>
      <w:marBottom w:val="0"/>
      <w:divBdr>
        <w:top w:val="none" w:sz="0" w:space="0" w:color="auto"/>
        <w:left w:val="none" w:sz="0" w:space="0" w:color="auto"/>
        <w:bottom w:val="none" w:sz="0" w:space="0" w:color="auto"/>
        <w:right w:val="none" w:sz="0" w:space="0" w:color="auto"/>
      </w:divBdr>
    </w:div>
    <w:div w:id="60104695">
      <w:bodyDiv w:val="1"/>
      <w:marLeft w:val="0"/>
      <w:marRight w:val="0"/>
      <w:marTop w:val="0"/>
      <w:marBottom w:val="0"/>
      <w:divBdr>
        <w:top w:val="none" w:sz="0" w:space="0" w:color="auto"/>
        <w:left w:val="none" w:sz="0" w:space="0" w:color="auto"/>
        <w:bottom w:val="none" w:sz="0" w:space="0" w:color="auto"/>
        <w:right w:val="none" w:sz="0" w:space="0" w:color="auto"/>
      </w:divBdr>
    </w:div>
    <w:div w:id="70197710">
      <w:bodyDiv w:val="1"/>
      <w:marLeft w:val="0"/>
      <w:marRight w:val="0"/>
      <w:marTop w:val="0"/>
      <w:marBottom w:val="0"/>
      <w:divBdr>
        <w:top w:val="none" w:sz="0" w:space="0" w:color="auto"/>
        <w:left w:val="none" w:sz="0" w:space="0" w:color="auto"/>
        <w:bottom w:val="none" w:sz="0" w:space="0" w:color="auto"/>
        <w:right w:val="none" w:sz="0" w:space="0" w:color="auto"/>
      </w:divBdr>
    </w:div>
    <w:div w:id="93088332">
      <w:bodyDiv w:val="1"/>
      <w:marLeft w:val="0"/>
      <w:marRight w:val="0"/>
      <w:marTop w:val="0"/>
      <w:marBottom w:val="0"/>
      <w:divBdr>
        <w:top w:val="none" w:sz="0" w:space="0" w:color="auto"/>
        <w:left w:val="none" w:sz="0" w:space="0" w:color="auto"/>
        <w:bottom w:val="none" w:sz="0" w:space="0" w:color="auto"/>
        <w:right w:val="none" w:sz="0" w:space="0" w:color="auto"/>
      </w:divBdr>
    </w:div>
    <w:div w:id="106169254">
      <w:bodyDiv w:val="1"/>
      <w:marLeft w:val="0"/>
      <w:marRight w:val="0"/>
      <w:marTop w:val="0"/>
      <w:marBottom w:val="0"/>
      <w:divBdr>
        <w:top w:val="none" w:sz="0" w:space="0" w:color="auto"/>
        <w:left w:val="none" w:sz="0" w:space="0" w:color="auto"/>
        <w:bottom w:val="none" w:sz="0" w:space="0" w:color="auto"/>
        <w:right w:val="none" w:sz="0" w:space="0" w:color="auto"/>
      </w:divBdr>
    </w:div>
    <w:div w:id="137647755">
      <w:bodyDiv w:val="1"/>
      <w:marLeft w:val="0"/>
      <w:marRight w:val="0"/>
      <w:marTop w:val="0"/>
      <w:marBottom w:val="0"/>
      <w:divBdr>
        <w:top w:val="none" w:sz="0" w:space="0" w:color="auto"/>
        <w:left w:val="none" w:sz="0" w:space="0" w:color="auto"/>
        <w:bottom w:val="none" w:sz="0" w:space="0" w:color="auto"/>
        <w:right w:val="none" w:sz="0" w:space="0" w:color="auto"/>
      </w:divBdr>
    </w:div>
    <w:div w:id="188298662">
      <w:bodyDiv w:val="1"/>
      <w:marLeft w:val="0"/>
      <w:marRight w:val="0"/>
      <w:marTop w:val="0"/>
      <w:marBottom w:val="0"/>
      <w:divBdr>
        <w:top w:val="none" w:sz="0" w:space="0" w:color="auto"/>
        <w:left w:val="none" w:sz="0" w:space="0" w:color="auto"/>
        <w:bottom w:val="none" w:sz="0" w:space="0" w:color="auto"/>
        <w:right w:val="none" w:sz="0" w:space="0" w:color="auto"/>
      </w:divBdr>
    </w:div>
    <w:div w:id="206991832">
      <w:bodyDiv w:val="1"/>
      <w:marLeft w:val="0"/>
      <w:marRight w:val="0"/>
      <w:marTop w:val="0"/>
      <w:marBottom w:val="0"/>
      <w:divBdr>
        <w:top w:val="none" w:sz="0" w:space="0" w:color="auto"/>
        <w:left w:val="none" w:sz="0" w:space="0" w:color="auto"/>
        <w:bottom w:val="none" w:sz="0" w:space="0" w:color="auto"/>
        <w:right w:val="none" w:sz="0" w:space="0" w:color="auto"/>
      </w:divBdr>
    </w:div>
    <w:div w:id="232391852">
      <w:bodyDiv w:val="1"/>
      <w:marLeft w:val="0"/>
      <w:marRight w:val="0"/>
      <w:marTop w:val="0"/>
      <w:marBottom w:val="0"/>
      <w:divBdr>
        <w:top w:val="none" w:sz="0" w:space="0" w:color="auto"/>
        <w:left w:val="none" w:sz="0" w:space="0" w:color="auto"/>
        <w:bottom w:val="none" w:sz="0" w:space="0" w:color="auto"/>
        <w:right w:val="none" w:sz="0" w:space="0" w:color="auto"/>
      </w:divBdr>
    </w:div>
    <w:div w:id="257101964">
      <w:bodyDiv w:val="1"/>
      <w:marLeft w:val="0"/>
      <w:marRight w:val="0"/>
      <w:marTop w:val="0"/>
      <w:marBottom w:val="0"/>
      <w:divBdr>
        <w:top w:val="none" w:sz="0" w:space="0" w:color="auto"/>
        <w:left w:val="none" w:sz="0" w:space="0" w:color="auto"/>
        <w:bottom w:val="none" w:sz="0" w:space="0" w:color="auto"/>
        <w:right w:val="none" w:sz="0" w:space="0" w:color="auto"/>
      </w:divBdr>
    </w:div>
    <w:div w:id="293023371">
      <w:bodyDiv w:val="1"/>
      <w:marLeft w:val="0"/>
      <w:marRight w:val="0"/>
      <w:marTop w:val="0"/>
      <w:marBottom w:val="0"/>
      <w:divBdr>
        <w:top w:val="none" w:sz="0" w:space="0" w:color="auto"/>
        <w:left w:val="none" w:sz="0" w:space="0" w:color="auto"/>
        <w:bottom w:val="none" w:sz="0" w:space="0" w:color="auto"/>
        <w:right w:val="none" w:sz="0" w:space="0" w:color="auto"/>
      </w:divBdr>
    </w:div>
    <w:div w:id="338309336">
      <w:bodyDiv w:val="1"/>
      <w:marLeft w:val="0"/>
      <w:marRight w:val="0"/>
      <w:marTop w:val="0"/>
      <w:marBottom w:val="0"/>
      <w:divBdr>
        <w:top w:val="none" w:sz="0" w:space="0" w:color="auto"/>
        <w:left w:val="none" w:sz="0" w:space="0" w:color="auto"/>
        <w:bottom w:val="none" w:sz="0" w:space="0" w:color="auto"/>
        <w:right w:val="none" w:sz="0" w:space="0" w:color="auto"/>
      </w:divBdr>
    </w:div>
    <w:div w:id="350226686">
      <w:bodyDiv w:val="1"/>
      <w:marLeft w:val="0"/>
      <w:marRight w:val="0"/>
      <w:marTop w:val="0"/>
      <w:marBottom w:val="0"/>
      <w:divBdr>
        <w:top w:val="none" w:sz="0" w:space="0" w:color="auto"/>
        <w:left w:val="none" w:sz="0" w:space="0" w:color="auto"/>
        <w:bottom w:val="none" w:sz="0" w:space="0" w:color="auto"/>
        <w:right w:val="none" w:sz="0" w:space="0" w:color="auto"/>
      </w:divBdr>
    </w:div>
    <w:div w:id="383918387">
      <w:bodyDiv w:val="1"/>
      <w:marLeft w:val="0"/>
      <w:marRight w:val="0"/>
      <w:marTop w:val="0"/>
      <w:marBottom w:val="0"/>
      <w:divBdr>
        <w:top w:val="none" w:sz="0" w:space="0" w:color="auto"/>
        <w:left w:val="none" w:sz="0" w:space="0" w:color="auto"/>
        <w:bottom w:val="none" w:sz="0" w:space="0" w:color="auto"/>
        <w:right w:val="none" w:sz="0" w:space="0" w:color="auto"/>
      </w:divBdr>
    </w:div>
    <w:div w:id="416177783">
      <w:bodyDiv w:val="1"/>
      <w:marLeft w:val="0"/>
      <w:marRight w:val="0"/>
      <w:marTop w:val="0"/>
      <w:marBottom w:val="0"/>
      <w:divBdr>
        <w:top w:val="none" w:sz="0" w:space="0" w:color="auto"/>
        <w:left w:val="none" w:sz="0" w:space="0" w:color="auto"/>
        <w:bottom w:val="none" w:sz="0" w:space="0" w:color="auto"/>
        <w:right w:val="none" w:sz="0" w:space="0" w:color="auto"/>
      </w:divBdr>
    </w:div>
    <w:div w:id="543905411">
      <w:bodyDiv w:val="1"/>
      <w:marLeft w:val="0"/>
      <w:marRight w:val="0"/>
      <w:marTop w:val="0"/>
      <w:marBottom w:val="0"/>
      <w:divBdr>
        <w:top w:val="none" w:sz="0" w:space="0" w:color="auto"/>
        <w:left w:val="none" w:sz="0" w:space="0" w:color="auto"/>
        <w:bottom w:val="none" w:sz="0" w:space="0" w:color="auto"/>
        <w:right w:val="none" w:sz="0" w:space="0" w:color="auto"/>
      </w:divBdr>
    </w:div>
    <w:div w:id="645666522">
      <w:bodyDiv w:val="1"/>
      <w:marLeft w:val="0"/>
      <w:marRight w:val="0"/>
      <w:marTop w:val="0"/>
      <w:marBottom w:val="0"/>
      <w:divBdr>
        <w:top w:val="none" w:sz="0" w:space="0" w:color="auto"/>
        <w:left w:val="none" w:sz="0" w:space="0" w:color="auto"/>
        <w:bottom w:val="none" w:sz="0" w:space="0" w:color="auto"/>
        <w:right w:val="none" w:sz="0" w:space="0" w:color="auto"/>
      </w:divBdr>
    </w:div>
    <w:div w:id="742144078">
      <w:bodyDiv w:val="1"/>
      <w:marLeft w:val="0"/>
      <w:marRight w:val="0"/>
      <w:marTop w:val="0"/>
      <w:marBottom w:val="0"/>
      <w:divBdr>
        <w:top w:val="none" w:sz="0" w:space="0" w:color="auto"/>
        <w:left w:val="none" w:sz="0" w:space="0" w:color="auto"/>
        <w:bottom w:val="none" w:sz="0" w:space="0" w:color="auto"/>
        <w:right w:val="none" w:sz="0" w:space="0" w:color="auto"/>
      </w:divBdr>
    </w:div>
    <w:div w:id="790825239">
      <w:bodyDiv w:val="1"/>
      <w:marLeft w:val="0"/>
      <w:marRight w:val="0"/>
      <w:marTop w:val="0"/>
      <w:marBottom w:val="0"/>
      <w:divBdr>
        <w:top w:val="none" w:sz="0" w:space="0" w:color="auto"/>
        <w:left w:val="none" w:sz="0" w:space="0" w:color="auto"/>
        <w:bottom w:val="none" w:sz="0" w:space="0" w:color="auto"/>
        <w:right w:val="none" w:sz="0" w:space="0" w:color="auto"/>
      </w:divBdr>
    </w:div>
    <w:div w:id="815685300">
      <w:bodyDiv w:val="1"/>
      <w:marLeft w:val="0"/>
      <w:marRight w:val="0"/>
      <w:marTop w:val="0"/>
      <w:marBottom w:val="0"/>
      <w:divBdr>
        <w:top w:val="none" w:sz="0" w:space="0" w:color="auto"/>
        <w:left w:val="none" w:sz="0" w:space="0" w:color="auto"/>
        <w:bottom w:val="none" w:sz="0" w:space="0" w:color="auto"/>
        <w:right w:val="none" w:sz="0" w:space="0" w:color="auto"/>
      </w:divBdr>
    </w:div>
    <w:div w:id="844636107">
      <w:bodyDiv w:val="1"/>
      <w:marLeft w:val="0"/>
      <w:marRight w:val="0"/>
      <w:marTop w:val="0"/>
      <w:marBottom w:val="0"/>
      <w:divBdr>
        <w:top w:val="none" w:sz="0" w:space="0" w:color="auto"/>
        <w:left w:val="none" w:sz="0" w:space="0" w:color="auto"/>
        <w:bottom w:val="none" w:sz="0" w:space="0" w:color="auto"/>
        <w:right w:val="none" w:sz="0" w:space="0" w:color="auto"/>
      </w:divBdr>
      <w:divsChild>
        <w:div w:id="1615137870">
          <w:marLeft w:val="0"/>
          <w:marRight w:val="0"/>
          <w:marTop w:val="0"/>
          <w:marBottom w:val="0"/>
          <w:divBdr>
            <w:top w:val="none" w:sz="0" w:space="0" w:color="auto"/>
            <w:left w:val="none" w:sz="0" w:space="0" w:color="auto"/>
            <w:bottom w:val="none" w:sz="0" w:space="0" w:color="auto"/>
            <w:right w:val="none" w:sz="0" w:space="0" w:color="auto"/>
          </w:divBdr>
        </w:div>
        <w:div w:id="88818927">
          <w:marLeft w:val="0"/>
          <w:marRight w:val="0"/>
          <w:marTop w:val="0"/>
          <w:marBottom w:val="0"/>
          <w:divBdr>
            <w:top w:val="none" w:sz="0" w:space="0" w:color="auto"/>
            <w:left w:val="none" w:sz="0" w:space="0" w:color="auto"/>
            <w:bottom w:val="none" w:sz="0" w:space="0" w:color="auto"/>
            <w:right w:val="none" w:sz="0" w:space="0" w:color="auto"/>
          </w:divBdr>
        </w:div>
      </w:divsChild>
    </w:div>
    <w:div w:id="851838876">
      <w:bodyDiv w:val="1"/>
      <w:marLeft w:val="0"/>
      <w:marRight w:val="0"/>
      <w:marTop w:val="0"/>
      <w:marBottom w:val="0"/>
      <w:divBdr>
        <w:top w:val="none" w:sz="0" w:space="0" w:color="auto"/>
        <w:left w:val="none" w:sz="0" w:space="0" w:color="auto"/>
        <w:bottom w:val="none" w:sz="0" w:space="0" w:color="auto"/>
        <w:right w:val="none" w:sz="0" w:space="0" w:color="auto"/>
      </w:divBdr>
      <w:divsChild>
        <w:div w:id="2062240357">
          <w:marLeft w:val="0"/>
          <w:marRight w:val="0"/>
          <w:marTop w:val="0"/>
          <w:marBottom w:val="0"/>
          <w:divBdr>
            <w:top w:val="none" w:sz="0" w:space="0" w:color="auto"/>
            <w:left w:val="none" w:sz="0" w:space="0" w:color="auto"/>
            <w:bottom w:val="none" w:sz="0" w:space="0" w:color="auto"/>
            <w:right w:val="none" w:sz="0" w:space="0" w:color="auto"/>
          </w:divBdr>
        </w:div>
        <w:div w:id="564682014">
          <w:marLeft w:val="0"/>
          <w:marRight w:val="0"/>
          <w:marTop w:val="0"/>
          <w:marBottom w:val="0"/>
          <w:divBdr>
            <w:top w:val="none" w:sz="0" w:space="0" w:color="auto"/>
            <w:left w:val="none" w:sz="0" w:space="0" w:color="auto"/>
            <w:bottom w:val="none" w:sz="0" w:space="0" w:color="auto"/>
            <w:right w:val="none" w:sz="0" w:space="0" w:color="auto"/>
          </w:divBdr>
        </w:div>
        <w:div w:id="1527332499">
          <w:marLeft w:val="0"/>
          <w:marRight w:val="0"/>
          <w:marTop w:val="0"/>
          <w:marBottom w:val="0"/>
          <w:divBdr>
            <w:top w:val="none" w:sz="0" w:space="0" w:color="auto"/>
            <w:left w:val="none" w:sz="0" w:space="0" w:color="auto"/>
            <w:bottom w:val="none" w:sz="0" w:space="0" w:color="auto"/>
            <w:right w:val="none" w:sz="0" w:space="0" w:color="auto"/>
          </w:divBdr>
        </w:div>
        <w:div w:id="397754548">
          <w:marLeft w:val="0"/>
          <w:marRight w:val="0"/>
          <w:marTop w:val="0"/>
          <w:marBottom w:val="0"/>
          <w:divBdr>
            <w:top w:val="none" w:sz="0" w:space="0" w:color="auto"/>
            <w:left w:val="none" w:sz="0" w:space="0" w:color="auto"/>
            <w:bottom w:val="none" w:sz="0" w:space="0" w:color="auto"/>
            <w:right w:val="none" w:sz="0" w:space="0" w:color="auto"/>
          </w:divBdr>
        </w:div>
        <w:div w:id="1110853288">
          <w:marLeft w:val="0"/>
          <w:marRight w:val="0"/>
          <w:marTop w:val="0"/>
          <w:marBottom w:val="0"/>
          <w:divBdr>
            <w:top w:val="none" w:sz="0" w:space="0" w:color="auto"/>
            <w:left w:val="none" w:sz="0" w:space="0" w:color="auto"/>
            <w:bottom w:val="none" w:sz="0" w:space="0" w:color="auto"/>
            <w:right w:val="none" w:sz="0" w:space="0" w:color="auto"/>
          </w:divBdr>
        </w:div>
      </w:divsChild>
    </w:div>
    <w:div w:id="965625190">
      <w:bodyDiv w:val="1"/>
      <w:marLeft w:val="0"/>
      <w:marRight w:val="0"/>
      <w:marTop w:val="0"/>
      <w:marBottom w:val="0"/>
      <w:divBdr>
        <w:top w:val="none" w:sz="0" w:space="0" w:color="auto"/>
        <w:left w:val="none" w:sz="0" w:space="0" w:color="auto"/>
        <w:bottom w:val="none" w:sz="0" w:space="0" w:color="auto"/>
        <w:right w:val="none" w:sz="0" w:space="0" w:color="auto"/>
      </w:divBdr>
    </w:div>
    <w:div w:id="1051421369">
      <w:bodyDiv w:val="1"/>
      <w:marLeft w:val="0"/>
      <w:marRight w:val="0"/>
      <w:marTop w:val="0"/>
      <w:marBottom w:val="0"/>
      <w:divBdr>
        <w:top w:val="none" w:sz="0" w:space="0" w:color="auto"/>
        <w:left w:val="none" w:sz="0" w:space="0" w:color="auto"/>
        <w:bottom w:val="none" w:sz="0" w:space="0" w:color="auto"/>
        <w:right w:val="none" w:sz="0" w:space="0" w:color="auto"/>
      </w:divBdr>
    </w:div>
    <w:div w:id="1062945967">
      <w:bodyDiv w:val="1"/>
      <w:marLeft w:val="0"/>
      <w:marRight w:val="0"/>
      <w:marTop w:val="0"/>
      <w:marBottom w:val="0"/>
      <w:divBdr>
        <w:top w:val="none" w:sz="0" w:space="0" w:color="auto"/>
        <w:left w:val="none" w:sz="0" w:space="0" w:color="auto"/>
        <w:bottom w:val="none" w:sz="0" w:space="0" w:color="auto"/>
        <w:right w:val="none" w:sz="0" w:space="0" w:color="auto"/>
      </w:divBdr>
    </w:div>
    <w:div w:id="1071196576">
      <w:bodyDiv w:val="1"/>
      <w:marLeft w:val="0"/>
      <w:marRight w:val="0"/>
      <w:marTop w:val="0"/>
      <w:marBottom w:val="0"/>
      <w:divBdr>
        <w:top w:val="none" w:sz="0" w:space="0" w:color="auto"/>
        <w:left w:val="none" w:sz="0" w:space="0" w:color="auto"/>
        <w:bottom w:val="none" w:sz="0" w:space="0" w:color="auto"/>
        <w:right w:val="none" w:sz="0" w:space="0" w:color="auto"/>
      </w:divBdr>
    </w:div>
    <w:div w:id="1098020101">
      <w:bodyDiv w:val="1"/>
      <w:marLeft w:val="0"/>
      <w:marRight w:val="0"/>
      <w:marTop w:val="0"/>
      <w:marBottom w:val="0"/>
      <w:divBdr>
        <w:top w:val="none" w:sz="0" w:space="0" w:color="auto"/>
        <w:left w:val="none" w:sz="0" w:space="0" w:color="auto"/>
        <w:bottom w:val="none" w:sz="0" w:space="0" w:color="auto"/>
        <w:right w:val="none" w:sz="0" w:space="0" w:color="auto"/>
      </w:divBdr>
    </w:div>
    <w:div w:id="1145663826">
      <w:bodyDiv w:val="1"/>
      <w:marLeft w:val="0"/>
      <w:marRight w:val="0"/>
      <w:marTop w:val="0"/>
      <w:marBottom w:val="0"/>
      <w:divBdr>
        <w:top w:val="none" w:sz="0" w:space="0" w:color="auto"/>
        <w:left w:val="none" w:sz="0" w:space="0" w:color="auto"/>
        <w:bottom w:val="none" w:sz="0" w:space="0" w:color="auto"/>
        <w:right w:val="none" w:sz="0" w:space="0" w:color="auto"/>
      </w:divBdr>
    </w:div>
    <w:div w:id="1157192266">
      <w:bodyDiv w:val="1"/>
      <w:marLeft w:val="0"/>
      <w:marRight w:val="0"/>
      <w:marTop w:val="0"/>
      <w:marBottom w:val="0"/>
      <w:divBdr>
        <w:top w:val="none" w:sz="0" w:space="0" w:color="auto"/>
        <w:left w:val="none" w:sz="0" w:space="0" w:color="auto"/>
        <w:bottom w:val="none" w:sz="0" w:space="0" w:color="auto"/>
        <w:right w:val="none" w:sz="0" w:space="0" w:color="auto"/>
      </w:divBdr>
    </w:div>
    <w:div w:id="1183857542">
      <w:bodyDiv w:val="1"/>
      <w:marLeft w:val="0"/>
      <w:marRight w:val="0"/>
      <w:marTop w:val="0"/>
      <w:marBottom w:val="0"/>
      <w:divBdr>
        <w:top w:val="none" w:sz="0" w:space="0" w:color="auto"/>
        <w:left w:val="none" w:sz="0" w:space="0" w:color="auto"/>
        <w:bottom w:val="none" w:sz="0" w:space="0" w:color="auto"/>
        <w:right w:val="none" w:sz="0" w:space="0" w:color="auto"/>
      </w:divBdr>
    </w:div>
    <w:div w:id="1191187733">
      <w:bodyDiv w:val="1"/>
      <w:marLeft w:val="0"/>
      <w:marRight w:val="0"/>
      <w:marTop w:val="0"/>
      <w:marBottom w:val="0"/>
      <w:divBdr>
        <w:top w:val="none" w:sz="0" w:space="0" w:color="auto"/>
        <w:left w:val="none" w:sz="0" w:space="0" w:color="auto"/>
        <w:bottom w:val="none" w:sz="0" w:space="0" w:color="auto"/>
        <w:right w:val="none" w:sz="0" w:space="0" w:color="auto"/>
      </w:divBdr>
      <w:divsChild>
        <w:div w:id="502667388">
          <w:marLeft w:val="0"/>
          <w:marRight w:val="0"/>
          <w:marTop w:val="0"/>
          <w:marBottom w:val="0"/>
          <w:divBdr>
            <w:top w:val="none" w:sz="0" w:space="0" w:color="auto"/>
            <w:left w:val="none" w:sz="0" w:space="0" w:color="auto"/>
            <w:bottom w:val="none" w:sz="0" w:space="0" w:color="auto"/>
            <w:right w:val="none" w:sz="0" w:space="0" w:color="auto"/>
          </w:divBdr>
        </w:div>
        <w:div w:id="1501043791">
          <w:marLeft w:val="0"/>
          <w:marRight w:val="0"/>
          <w:marTop w:val="0"/>
          <w:marBottom w:val="0"/>
          <w:divBdr>
            <w:top w:val="none" w:sz="0" w:space="0" w:color="auto"/>
            <w:left w:val="none" w:sz="0" w:space="0" w:color="auto"/>
            <w:bottom w:val="none" w:sz="0" w:space="0" w:color="auto"/>
            <w:right w:val="none" w:sz="0" w:space="0" w:color="auto"/>
          </w:divBdr>
        </w:div>
        <w:div w:id="435297680">
          <w:marLeft w:val="0"/>
          <w:marRight w:val="0"/>
          <w:marTop w:val="0"/>
          <w:marBottom w:val="0"/>
          <w:divBdr>
            <w:top w:val="none" w:sz="0" w:space="0" w:color="auto"/>
            <w:left w:val="none" w:sz="0" w:space="0" w:color="auto"/>
            <w:bottom w:val="none" w:sz="0" w:space="0" w:color="auto"/>
            <w:right w:val="none" w:sz="0" w:space="0" w:color="auto"/>
          </w:divBdr>
        </w:div>
        <w:div w:id="453863570">
          <w:marLeft w:val="0"/>
          <w:marRight w:val="0"/>
          <w:marTop w:val="0"/>
          <w:marBottom w:val="0"/>
          <w:divBdr>
            <w:top w:val="none" w:sz="0" w:space="0" w:color="auto"/>
            <w:left w:val="none" w:sz="0" w:space="0" w:color="auto"/>
            <w:bottom w:val="none" w:sz="0" w:space="0" w:color="auto"/>
            <w:right w:val="none" w:sz="0" w:space="0" w:color="auto"/>
          </w:divBdr>
        </w:div>
      </w:divsChild>
    </w:div>
    <w:div w:id="1203708862">
      <w:bodyDiv w:val="1"/>
      <w:marLeft w:val="0"/>
      <w:marRight w:val="0"/>
      <w:marTop w:val="0"/>
      <w:marBottom w:val="0"/>
      <w:divBdr>
        <w:top w:val="none" w:sz="0" w:space="0" w:color="auto"/>
        <w:left w:val="none" w:sz="0" w:space="0" w:color="auto"/>
        <w:bottom w:val="none" w:sz="0" w:space="0" w:color="auto"/>
        <w:right w:val="none" w:sz="0" w:space="0" w:color="auto"/>
      </w:divBdr>
    </w:div>
    <w:div w:id="1338851239">
      <w:bodyDiv w:val="1"/>
      <w:marLeft w:val="0"/>
      <w:marRight w:val="0"/>
      <w:marTop w:val="0"/>
      <w:marBottom w:val="0"/>
      <w:divBdr>
        <w:top w:val="none" w:sz="0" w:space="0" w:color="auto"/>
        <w:left w:val="none" w:sz="0" w:space="0" w:color="auto"/>
        <w:bottom w:val="none" w:sz="0" w:space="0" w:color="auto"/>
        <w:right w:val="none" w:sz="0" w:space="0" w:color="auto"/>
      </w:divBdr>
      <w:divsChild>
        <w:div w:id="312687478">
          <w:marLeft w:val="0"/>
          <w:marRight w:val="0"/>
          <w:marTop w:val="0"/>
          <w:marBottom w:val="0"/>
          <w:divBdr>
            <w:top w:val="none" w:sz="0" w:space="0" w:color="auto"/>
            <w:left w:val="none" w:sz="0" w:space="0" w:color="auto"/>
            <w:bottom w:val="none" w:sz="0" w:space="0" w:color="auto"/>
            <w:right w:val="none" w:sz="0" w:space="0" w:color="auto"/>
          </w:divBdr>
        </w:div>
        <w:div w:id="811599586">
          <w:marLeft w:val="0"/>
          <w:marRight w:val="0"/>
          <w:marTop w:val="0"/>
          <w:marBottom w:val="0"/>
          <w:divBdr>
            <w:top w:val="none" w:sz="0" w:space="0" w:color="auto"/>
            <w:left w:val="none" w:sz="0" w:space="0" w:color="auto"/>
            <w:bottom w:val="none" w:sz="0" w:space="0" w:color="auto"/>
            <w:right w:val="none" w:sz="0" w:space="0" w:color="auto"/>
          </w:divBdr>
        </w:div>
        <w:div w:id="571089677">
          <w:marLeft w:val="0"/>
          <w:marRight w:val="0"/>
          <w:marTop w:val="0"/>
          <w:marBottom w:val="0"/>
          <w:divBdr>
            <w:top w:val="none" w:sz="0" w:space="0" w:color="auto"/>
            <w:left w:val="none" w:sz="0" w:space="0" w:color="auto"/>
            <w:bottom w:val="none" w:sz="0" w:space="0" w:color="auto"/>
            <w:right w:val="none" w:sz="0" w:space="0" w:color="auto"/>
          </w:divBdr>
        </w:div>
        <w:div w:id="1301573124">
          <w:marLeft w:val="0"/>
          <w:marRight w:val="0"/>
          <w:marTop w:val="0"/>
          <w:marBottom w:val="0"/>
          <w:divBdr>
            <w:top w:val="none" w:sz="0" w:space="0" w:color="auto"/>
            <w:left w:val="none" w:sz="0" w:space="0" w:color="auto"/>
            <w:bottom w:val="none" w:sz="0" w:space="0" w:color="auto"/>
            <w:right w:val="none" w:sz="0" w:space="0" w:color="auto"/>
          </w:divBdr>
        </w:div>
        <w:div w:id="942105264">
          <w:marLeft w:val="0"/>
          <w:marRight w:val="0"/>
          <w:marTop w:val="0"/>
          <w:marBottom w:val="0"/>
          <w:divBdr>
            <w:top w:val="none" w:sz="0" w:space="0" w:color="auto"/>
            <w:left w:val="none" w:sz="0" w:space="0" w:color="auto"/>
            <w:bottom w:val="none" w:sz="0" w:space="0" w:color="auto"/>
            <w:right w:val="none" w:sz="0" w:space="0" w:color="auto"/>
          </w:divBdr>
        </w:div>
        <w:div w:id="226258852">
          <w:marLeft w:val="0"/>
          <w:marRight w:val="0"/>
          <w:marTop w:val="0"/>
          <w:marBottom w:val="0"/>
          <w:divBdr>
            <w:top w:val="none" w:sz="0" w:space="0" w:color="auto"/>
            <w:left w:val="none" w:sz="0" w:space="0" w:color="auto"/>
            <w:bottom w:val="none" w:sz="0" w:space="0" w:color="auto"/>
            <w:right w:val="none" w:sz="0" w:space="0" w:color="auto"/>
          </w:divBdr>
        </w:div>
        <w:div w:id="400905082">
          <w:marLeft w:val="0"/>
          <w:marRight w:val="0"/>
          <w:marTop w:val="0"/>
          <w:marBottom w:val="0"/>
          <w:divBdr>
            <w:top w:val="none" w:sz="0" w:space="0" w:color="auto"/>
            <w:left w:val="none" w:sz="0" w:space="0" w:color="auto"/>
            <w:bottom w:val="none" w:sz="0" w:space="0" w:color="auto"/>
            <w:right w:val="none" w:sz="0" w:space="0" w:color="auto"/>
          </w:divBdr>
        </w:div>
        <w:div w:id="343944644">
          <w:marLeft w:val="0"/>
          <w:marRight w:val="0"/>
          <w:marTop w:val="0"/>
          <w:marBottom w:val="0"/>
          <w:divBdr>
            <w:top w:val="none" w:sz="0" w:space="0" w:color="auto"/>
            <w:left w:val="none" w:sz="0" w:space="0" w:color="auto"/>
            <w:bottom w:val="none" w:sz="0" w:space="0" w:color="auto"/>
            <w:right w:val="none" w:sz="0" w:space="0" w:color="auto"/>
          </w:divBdr>
        </w:div>
        <w:div w:id="1256862382">
          <w:marLeft w:val="0"/>
          <w:marRight w:val="0"/>
          <w:marTop w:val="0"/>
          <w:marBottom w:val="0"/>
          <w:divBdr>
            <w:top w:val="none" w:sz="0" w:space="0" w:color="auto"/>
            <w:left w:val="none" w:sz="0" w:space="0" w:color="auto"/>
            <w:bottom w:val="none" w:sz="0" w:space="0" w:color="auto"/>
            <w:right w:val="none" w:sz="0" w:space="0" w:color="auto"/>
          </w:divBdr>
        </w:div>
        <w:div w:id="1377965973">
          <w:marLeft w:val="0"/>
          <w:marRight w:val="0"/>
          <w:marTop w:val="0"/>
          <w:marBottom w:val="0"/>
          <w:divBdr>
            <w:top w:val="none" w:sz="0" w:space="0" w:color="auto"/>
            <w:left w:val="none" w:sz="0" w:space="0" w:color="auto"/>
            <w:bottom w:val="none" w:sz="0" w:space="0" w:color="auto"/>
            <w:right w:val="none" w:sz="0" w:space="0" w:color="auto"/>
          </w:divBdr>
        </w:div>
      </w:divsChild>
    </w:div>
    <w:div w:id="1370036451">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 w:id="1406368996">
      <w:bodyDiv w:val="1"/>
      <w:marLeft w:val="0"/>
      <w:marRight w:val="0"/>
      <w:marTop w:val="0"/>
      <w:marBottom w:val="0"/>
      <w:divBdr>
        <w:top w:val="none" w:sz="0" w:space="0" w:color="auto"/>
        <w:left w:val="none" w:sz="0" w:space="0" w:color="auto"/>
        <w:bottom w:val="none" w:sz="0" w:space="0" w:color="auto"/>
        <w:right w:val="none" w:sz="0" w:space="0" w:color="auto"/>
      </w:divBdr>
    </w:div>
    <w:div w:id="1409880796">
      <w:bodyDiv w:val="1"/>
      <w:marLeft w:val="0"/>
      <w:marRight w:val="0"/>
      <w:marTop w:val="0"/>
      <w:marBottom w:val="0"/>
      <w:divBdr>
        <w:top w:val="none" w:sz="0" w:space="0" w:color="auto"/>
        <w:left w:val="none" w:sz="0" w:space="0" w:color="auto"/>
        <w:bottom w:val="none" w:sz="0" w:space="0" w:color="auto"/>
        <w:right w:val="none" w:sz="0" w:space="0" w:color="auto"/>
      </w:divBdr>
    </w:div>
    <w:div w:id="1459836497">
      <w:bodyDiv w:val="1"/>
      <w:marLeft w:val="0"/>
      <w:marRight w:val="0"/>
      <w:marTop w:val="0"/>
      <w:marBottom w:val="0"/>
      <w:divBdr>
        <w:top w:val="none" w:sz="0" w:space="0" w:color="auto"/>
        <w:left w:val="none" w:sz="0" w:space="0" w:color="auto"/>
        <w:bottom w:val="none" w:sz="0" w:space="0" w:color="auto"/>
        <w:right w:val="none" w:sz="0" w:space="0" w:color="auto"/>
      </w:divBdr>
    </w:div>
    <w:div w:id="1497110320">
      <w:bodyDiv w:val="1"/>
      <w:marLeft w:val="0"/>
      <w:marRight w:val="0"/>
      <w:marTop w:val="0"/>
      <w:marBottom w:val="0"/>
      <w:divBdr>
        <w:top w:val="none" w:sz="0" w:space="0" w:color="auto"/>
        <w:left w:val="none" w:sz="0" w:space="0" w:color="auto"/>
        <w:bottom w:val="none" w:sz="0" w:space="0" w:color="auto"/>
        <w:right w:val="none" w:sz="0" w:space="0" w:color="auto"/>
      </w:divBdr>
    </w:div>
    <w:div w:id="1508787415">
      <w:bodyDiv w:val="1"/>
      <w:marLeft w:val="0"/>
      <w:marRight w:val="0"/>
      <w:marTop w:val="0"/>
      <w:marBottom w:val="0"/>
      <w:divBdr>
        <w:top w:val="none" w:sz="0" w:space="0" w:color="auto"/>
        <w:left w:val="none" w:sz="0" w:space="0" w:color="auto"/>
        <w:bottom w:val="none" w:sz="0" w:space="0" w:color="auto"/>
        <w:right w:val="none" w:sz="0" w:space="0" w:color="auto"/>
      </w:divBdr>
    </w:div>
    <w:div w:id="1543127895">
      <w:bodyDiv w:val="1"/>
      <w:marLeft w:val="0"/>
      <w:marRight w:val="0"/>
      <w:marTop w:val="0"/>
      <w:marBottom w:val="0"/>
      <w:divBdr>
        <w:top w:val="none" w:sz="0" w:space="0" w:color="auto"/>
        <w:left w:val="none" w:sz="0" w:space="0" w:color="auto"/>
        <w:bottom w:val="none" w:sz="0" w:space="0" w:color="auto"/>
        <w:right w:val="none" w:sz="0" w:space="0" w:color="auto"/>
      </w:divBdr>
    </w:div>
    <w:div w:id="1554077332">
      <w:bodyDiv w:val="1"/>
      <w:marLeft w:val="0"/>
      <w:marRight w:val="0"/>
      <w:marTop w:val="0"/>
      <w:marBottom w:val="0"/>
      <w:divBdr>
        <w:top w:val="none" w:sz="0" w:space="0" w:color="auto"/>
        <w:left w:val="none" w:sz="0" w:space="0" w:color="auto"/>
        <w:bottom w:val="none" w:sz="0" w:space="0" w:color="auto"/>
        <w:right w:val="none" w:sz="0" w:space="0" w:color="auto"/>
      </w:divBdr>
    </w:div>
    <w:div w:id="1600915526">
      <w:bodyDiv w:val="1"/>
      <w:marLeft w:val="0"/>
      <w:marRight w:val="0"/>
      <w:marTop w:val="0"/>
      <w:marBottom w:val="0"/>
      <w:divBdr>
        <w:top w:val="none" w:sz="0" w:space="0" w:color="auto"/>
        <w:left w:val="none" w:sz="0" w:space="0" w:color="auto"/>
        <w:bottom w:val="none" w:sz="0" w:space="0" w:color="auto"/>
        <w:right w:val="none" w:sz="0" w:space="0" w:color="auto"/>
      </w:divBdr>
    </w:div>
    <w:div w:id="1825657533">
      <w:bodyDiv w:val="1"/>
      <w:marLeft w:val="0"/>
      <w:marRight w:val="0"/>
      <w:marTop w:val="0"/>
      <w:marBottom w:val="0"/>
      <w:divBdr>
        <w:top w:val="none" w:sz="0" w:space="0" w:color="auto"/>
        <w:left w:val="none" w:sz="0" w:space="0" w:color="auto"/>
        <w:bottom w:val="none" w:sz="0" w:space="0" w:color="auto"/>
        <w:right w:val="none" w:sz="0" w:space="0" w:color="auto"/>
      </w:divBdr>
    </w:div>
    <w:div w:id="1850481918">
      <w:bodyDiv w:val="1"/>
      <w:marLeft w:val="0"/>
      <w:marRight w:val="0"/>
      <w:marTop w:val="0"/>
      <w:marBottom w:val="0"/>
      <w:divBdr>
        <w:top w:val="none" w:sz="0" w:space="0" w:color="auto"/>
        <w:left w:val="none" w:sz="0" w:space="0" w:color="auto"/>
        <w:bottom w:val="none" w:sz="0" w:space="0" w:color="auto"/>
        <w:right w:val="none" w:sz="0" w:space="0" w:color="auto"/>
      </w:divBdr>
    </w:div>
    <w:div w:id="1861040032">
      <w:bodyDiv w:val="1"/>
      <w:marLeft w:val="0"/>
      <w:marRight w:val="0"/>
      <w:marTop w:val="0"/>
      <w:marBottom w:val="0"/>
      <w:divBdr>
        <w:top w:val="none" w:sz="0" w:space="0" w:color="auto"/>
        <w:left w:val="none" w:sz="0" w:space="0" w:color="auto"/>
        <w:bottom w:val="none" w:sz="0" w:space="0" w:color="auto"/>
        <w:right w:val="none" w:sz="0" w:space="0" w:color="auto"/>
      </w:divBdr>
    </w:div>
    <w:div w:id="1889029384">
      <w:bodyDiv w:val="1"/>
      <w:marLeft w:val="0"/>
      <w:marRight w:val="0"/>
      <w:marTop w:val="0"/>
      <w:marBottom w:val="0"/>
      <w:divBdr>
        <w:top w:val="none" w:sz="0" w:space="0" w:color="auto"/>
        <w:left w:val="none" w:sz="0" w:space="0" w:color="auto"/>
        <w:bottom w:val="none" w:sz="0" w:space="0" w:color="auto"/>
        <w:right w:val="none" w:sz="0" w:space="0" w:color="auto"/>
      </w:divBdr>
    </w:div>
    <w:div w:id="1950627162">
      <w:bodyDiv w:val="1"/>
      <w:marLeft w:val="0"/>
      <w:marRight w:val="0"/>
      <w:marTop w:val="0"/>
      <w:marBottom w:val="0"/>
      <w:divBdr>
        <w:top w:val="none" w:sz="0" w:space="0" w:color="auto"/>
        <w:left w:val="none" w:sz="0" w:space="0" w:color="auto"/>
        <w:bottom w:val="none" w:sz="0" w:space="0" w:color="auto"/>
        <w:right w:val="none" w:sz="0" w:space="0" w:color="auto"/>
      </w:divBdr>
    </w:div>
    <w:div w:id="2053770746">
      <w:bodyDiv w:val="1"/>
      <w:marLeft w:val="0"/>
      <w:marRight w:val="0"/>
      <w:marTop w:val="0"/>
      <w:marBottom w:val="0"/>
      <w:divBdr>
        <w:top w:val="none" w:sz="0" w:space="0" w:color="auto"/>
        <w:left w:val="none" w:sz="0" w:space="0" w:color="auto"/>
        <w:bottom w:val="none" w:sz="0" w:space="0" w:color="auto"/>
        <w:right w:val="none" w:sz="0" w:space="0" w:color="auto"/>
      </w:divBdr>
      <w:divsChild>
        <w:div w:id="121004879">
          <w:marLeft w:val="0"/>
          <w:marRight w:val="0"/>
          <w:marTop w:val="0"/>
          <w:marBottom w:val="0"/>
          <w:divBdr>
            <w:top w:val="none" w:sz="0" w:space="0" w:color="auto"/>
            <w:left w:val="none" w:sz="0" w:space="0" w:color="auto"/>
            <w:bottom w:val="none" w:sz="0" w:space="0" w:color="auto"/>
            <w:right w:val="none" w:sz="0" w:space="0" w:color="auto"/>
          </w:divBdr>
          <w:divsChild>
            <w:div w:id="788167145">
              <w:marLeft w:val="0"/>
              <w:marRight w:val="0"/>
              <w:marTop w:val="0"/>
              <w:marBottom w:val="0"/>
              <w:divBdr>
                <w:top w:val="none" w:sz="0" w:space="0" w:color="auto"/>
                <w:left w:val="none" w:sz="0" w:space="0" w:color="auto"/>
                <w:bottom w:val="none" w:sz="0" w:space="0" w:color="auto"/>
                <w:right w:val="none" w:sz="0" w:space="0" w:color="auto"/>
              </w:divBdr>
            </w:div>
            <w:div w:id="341858373">
              <w:marLeft w:val="0"/>
              <w:marRight w:val="0"/>
              <w:marTop w:val="0"/>
              <w:marBottom w:val="0"/>
              <w:divBdr>
                <w:top w:val="none" w:sz="0" w:space="0" w:color="auto"/>
                <w:left w:val="none" w:sz="0" w:space="0" w:color="auto"/>
                <w:bottom w:val="none" w:sz="0" w:space="0" w:color="auto"/>
                <w:right w:val="none" w:sz="0" w:space="0" w:color="auto"/>
              </w:divBdr>
            </w:div>
            <w:div w:id="1886288937">
              <w:marLeft w:val="0"/>
              <w:marRight w:val="0"/>
              <w:marTop w:val="0"/>
              <w:marBottom w:val="0"/>
              <w:divBdr>
                <w:top w:val="none" w:sz="0" w:space="0" w:color="auto"/>
                <w:left w:val="none" w:sz="0" w:space="0" w:color="auto"/>
                <w:bottom w:val="none" w:sz="0" w:space="0" w:color="auto"/>
                <w:right w:val="none" w:sz="0" w:space="0" w:color="auto"/>
              </w:divBdr>
            </w:div>
            <w:div w:id="1523938285">
              <w:marLeft w:val="0"/>
              <w:marRight w:val="0"/>
              <w:marTop w:val="0"/>
              <w:marBottom w:val="0"/>
              <w:divBdr>
                <w:top w:val="none" w:sz="0" w:space="0" w:color="auto"/>
                <w:left w:val="none" w:sz="0" w:space="0" w:color="auto"/>
                <w:bottom w:val="none" w:sz="0" w:space="0" w:color="auto"/>
                <w:right w:val="none" w:sz="0" w:space="0" w:color="auto"/>
              </w:divBdr>
            </w:div>
            <w:div w:id="1821995572">
              <w:marLeft w:val="0"/>
              <w:marRight w:val="0"/>
              <w:marTop w:val="0"/>
              <w:marBottom w:val="0"/>
              <w:divBdr>
                <w:top w:val="none" w:sz="0" w:space="0" w:color="auto"/>
                <w:left w:val="none" w:sz="0" w:space="0" w:color="auto"/>
                <w:bottom w:val="none" w:sz="0" w:space="0" w:color="auto"/>
                <w:right w:val="none" w:sz="0" w:space="0" w:color="auto"/>
              </w:divBdr>
            </w:div>
            <w:div w:id="1386176606">
              <w:marLeft w:val="0"/>
              <w:marRight w:val="0"/>
              <w:marTop w:val="0"/>
              <w:marBottom w:val="0"/>
              <w:divBdr>
                <w:top w:val="none" w:sz="0" w:space="0" w:color="auto"/>
                <w:left w:val="none" w:sz="0" w:space="0" w:color="auto"/>
                <w:bottom w:val="none" w:sz="0" w:space="0" w:color="auto"/>
                <w:right w:val="none" w:sz="0" w:space="0" w:color="auto"/>
              </w:divBdr>
            </w:div>
            <w:div w:id="482086111">
              <w:marLeft w:val="0"/>
              <w:marRight w:val="0"/>
              <w:marTop w:val="0"/>
              <w:marBottom w:val="0"/>
              <w:divBdr>
                <w:top w:val="none" w:sz="0" w:space="0" w:color="auto"/>
                <w:left w:val="none" w:sz="0" w:space="0" w:color="auto"/>
                <w:bottom w:val="none" w:sz="0" w:space="0" w:color="auto"/>
                <w:right w:val="none" w:sz="0" w:space="0" w:color="auto"/>
              </w:divBdr>
            </w:div>
            <w:div w:id="1146703237">
              <w:marLeft w:val="0"/>
              <w:marRight w:val="0"/>
              <w:marTop w:val="0"/>
              <w:marBottom w:val="0"/>
              <w:divBdr>
                <w:top w:val="none" w:sz="0" w:space="0" w:color="auto"/>
                <w:left w:val="none" w:sz="0" w:space="0" w:color="auto"/>
                <w:bottom w:val="none" w:sz="0" w:space="0" w:color="auto"/>
                <w:right w:val="none" w:sz="0" w:space="0" w:color="auto"/>
              </w:divBdr>
            </w:div>
            <w:div w:id="2076706824">
              <w:marLeft w:val="0"/>
              <w:marRight w:val="0"/>
              <w:marTop w:val="0"/>
              <w:marBottom w:val="0"/>
              <w:divBdr>
                <w:top w:val="none" w:sz="0" w:space="0" w:color="auto"/>
                <w:left w:val="none" w:sz="0" w:space="0" w:color="auto"/>
                <w:bottom w:val="none" w:sz="0" w:space="0" w:color="auto"/>
                <w:right w:val="none" w:sz="0" w:space="0" w:color="auto"/>
              </w:divBdr>
            </w:div>
            <w:div w:id="678048992">
              <w:marLeft w:val="0"/>
              <w:marRight w:val="0"/>
              <w:marTop w:val="0"/>
              <w:marBottom w:val="0"/>
              <w:divBdr>
                <w:top w:val="none" w:sz="0" w:space="0" w:color="auto"/>
                <w:left w:val="none" w:sz="0" w:space="0" w:color="auto"/>
                <w:bottom w:val="none" w:sz="0" w:space="0" w:color="auto"/>
                <w:right w:val="none" w:sz="0" w:space="0" w:color="auto"/>
              </w:divBdr>
            </w:div>
            <w:div w:id="442769099">
              <w:marLeft w:val="0"/>
              <w:marRight w:val="0"/>
              <w:marTop w:val="0"/>
              <w:marBottom w:val="0"/>
              <w:divBdr>
                <w:top w:val="none" w:sz="0" w:space="0" w:color="auto"/>
                <w:left w:val="none" w:sz="0" w:space="0" w:color="auto"/>
                <w:bottom w:val="none" w:sz="0" w:space="0" w:color="auto"/>
                <w:right w:val="none" w:sz="0" w:space="0" w:color="auto"/>
              </w:divBdr>
            </w:div>
            <w:div w:id="1912350950">
              <w:marLeft w:val="0"/>
              <w:marRight w:val="0"/>
              <w:marTop w:val="0"/>
              <w:marBottom w:val="0"/>
              <w:divBdr>
                <w:top w:val="none" w:sz="0" w:space="0" w:color="auto"/>
                <w:left w:val="none" w:sz="0" w:space="0" w:color="auto"/>
                <w:bottom w:val="none" w:sz="0" w:space="0" w:color="auto"/>
                <w:right w:val="none" w:sz="0" w:space="0" w:color="auto"/>
              </w:divBdr>
            </w:div>
            <w:div w:id="435517742">
              <w:marLeft w:val="0"/>
              <w:marRight w:val="0"/>
              <w:marTop w:val="0"/>
              <w:marBottom w:val="0"/>
              <w:divBdr>
                <w:top w:val="none" w:sz="0" w:space="0" w:color="auto"/>
                <w:left w:val="none" w:sz="0" w:space="0" w:color="auto"/>
                <w:bottom w:val="none" w:sz="0" w:space="0" w:color="auto"/>
                <w:right w:val="none" w:sz="0" w:space="0" w:color="auto"/>
              </w:divBdr>
            </w:div>
            <w:div w:id="12651069">
              <w:marLeft w:val="0"/>
              <w:marRight w:val="0"/>
              <w:marTop w:val="0"/>
              <w:marBottom w:val="0"/>
              <w:divBdr>
                <w:top w:val="none" w:sz="0" w:space="0" w:color="auto"/>
                <w:left w:val="none" w:sz="0" w:space="0" w:color="auto"/>
                <w:bottom w:val="none" w:sz="0" w:space="0" w:color="auto"/>
                <w:right w:val="none" w:sz="0" w:space="0" w:color="auto"/>
              </w:divBdr>
            </w:div>
            <w:div w:id="1257136465">
              <w:marLeft w:val="0"/>
              <w:marRight w:val="0"/>
              <w:marTop w:val="0"/>
              <w:marBottom w:val="0"/>
              <w:divBdr>
                <w:top w:val="none" w:sz="0" w:space="0" w:color="auto"/>
                <w:left w:val="none" w:sz="0" w:space="0" w:color="auto"/>
                <w:bottom w:val="none" w:sz="0" w:space="0" w:color="auto"/>
                <w:right w:val="none" w:sz="0" w:space="0" w:color="auto"/>
              </w:divBdr>
            </w:div>
            <w:div w:id="2077586427">
              <w:marLeft w:val="0"/>
              <w:marRight w:val="0"/>
              <w:marTop w:val="0"/>
              <w:marBottom w:val="0"/>
              <w:divBdr>
                <w:top w:val="none" w:sz="0" w:space="0" w:color="auto"/>
                <w:left w:val="none" w:sz="0" w:space="0" w:color="auto"/>
                <w:bottom w:val="none" w:sz="0" w:space="0" w:color="auto"/>
                <w:right w:val="none" w:sz="0" w:space="0" w:color="auto"/>
              </w:divBdr>
            </w:div>
            <w:div w:id="539323801">
              <w:marLeft w:val="0"/>
              <w:marRight w:val="0"/>
              <w:marTop w:val="0"/>
              <w:marBottom w:val="0"/>
              <w:divBdr>
                <w:top w:val="none" w:sz="0" w:space="0" w:color="auto"/>
                <w:left w:val="none" w:sz="0" w:space="0" w:color="auto"/>
                <w:bottom w:val="none" w:sz="0" w:space="0" w:color="auto"/>
                <w:right w:val="none" w:sz="0" w:space="0" w:color="auto"/>
              </w:divBdr>
            </w:div>
            <w:div w:id="624237202">
              <w:marLeft w:val="0"/>
              <w:marRight w:val="0"/>
              <w:marTop w:val="0"/>
              <w:marBottom w:val="0"/>
              <w:divBdr>
                <w:top w:val="none" w:sz="0" w:space="0" w:color="auto"/>
                <w:left w:val="none" w:sz="0" w:space="0" w:color="auto"/>
                <w:bottom w:val="none" w:sz="0" w:space="0" w:color="auto"/>
                <w:right w:val="none" w:sz="0" w:space="0" w:color="auto"/>
              </w:divBdr>
            </w:div>
            <w:div w:id="1773209034">
              <w:marLeft w:val="0"/>
              <w:marRight w:val="0"/>
              <w:marTop w:val="0"/>
              <w:marBottom w:val="0"/>
              <w:divBdr>
                <w:top w:val="none" w:sz="0" w:space="0" w:color="auto"/>
                <w:left w:val="none" w:sz="0" w:space="0" w:color="auto"/>
                <w:bottom w:val="none" w:sz="0" w:space="0" w:color="auto"/>
                <w:right w:val="none" w:sz="0" w:space="0" w:color="auto"/>
              </w:divBdr>
            </w:div>
            <w:div w:id="735737474">
              <w:marLeft w:val="0"/>
              <w:marRight w:val="0"/>
              <w:marTop w:val="0"/>
              <w:marBottom w:val="0"/>
              <w:divBdr>
                <w:top w:val="none" w:sz="0" w:space="0" w:color="auto"/>
                <w:left w:val="none" w:sz="0" w:space="0" w:color="auto"/>
                <w:bottom w:val="none" w:sz="0" w:space="0" w:color="auto"/>
                <w:right w:val="none" w:sz="0" w:space="0" w:color="auto"/>
              </w:divBdr>
            </w:div>
            <w:div w:id="227113633">
              <w:marLeft w:val="0"/>
              <w:marRight w:val="0"/>
              <w:marTop w:val="0"/>
              <w:marBottom w:val="0"/>
              <w:divBdr>
                <w:top w:val="none" w:sz="0" w:space="0" w:color="auto"/>
                <w:left w:val="none" w:sz="0" w:space="0" w:color="auto"/>
                <w:bottom w:val="none" w:sz="0" w:space="0" w:color="auto"/>
                <w:right w:val="none" w:sz="0" w:space="0" w:color="auto"/>
              </w:divBdr>
            </w:div>
            <w:div w:id="270014911">
              <w:marLeft w:val="0"/>
              <w:marRight w:val="0"/>
              <w:marTop w:val="0"/>
              <w:marBottom w:val="0"/>
              <w:divBdr>
                <w:top w:val="none" w:sz="0" w:space="0" w:color="auto"/>
                <w:left w:val="none" w:sz="0" w:space="0" w:color="auto"/>
                <w:bottom w:val="none" w:sz="0" w:space="0" w:color="auto"/>
                <w:right w:val="none" w:sz="0" w:space="0" w:color="auto"/>
              </w:divBdr>
            </w:div>
            <w:div w:id="977994207">
              <w:marLeft w:val="0"/>
              <w:marRight w:val="0"/>
              <w:marTop w:val="0"/>
              <w:marBottom w:val="0"/>
              <w:divBdr>
                <w:top w:val="none" w:sz="0" w:space="0" w:color="auto"/>
                <w:left w:val="none" w:sz="0" w:space="0" w:color="auto"/>
                <w:bottom w:val="none" w:sz="0" w:space="0" w:color="auto"/>
                <w:right w:val="none" w:sz="0" w:space="0" w:color="auto"/>
              </w:divBdr>
            </w:div>
            <w:div w:id="1333683213">
              <w:marLeft w:val="0"/>
              <w:marRight w:val="0"/>
              <w:marTop w:val="0"/>
              <w:marBottom w:val="0"/>
              <w:divBdr>
                <w:top w:val="none" w:sz="0" w:space="0" w:color="auto"/>
                <w:left w:val="none" w:sz="0" w:space="0" w:color="auto"/>
                <w:bottom w:val="none" w:sz="0" w:space="0" w:color="auto"/>
                <w:right w:val="none" w:sz="0" w:space="0" w:color="auto"/>
              </w:divBdr>
            </w:div>
            <w:div w:id="1881434528">
              <w:marLeft w:val="0"/>
              <w:marRight w:val="0"/>
              <w:marTop w:val="0"/>
              <w:marBottom w:val="0"/>
              <w:divBdr>
                <w:top w:val="none" w:sz="0" w:space="0" w:color="auto"/>
                <w:left w:val="none" w:sz="0" w:space="0" w:color="auto"/>
                <w:bottom w:val="none" w:sz="0" w:space="0" w:color="auto"/>
                <w:right w:val="none" w:sz="0" w:space="0" w:color="auto"/>
              </w:divBdr>
            </w:div>
            <w:div w:id="1017973640">
              <w:marLeft w:val="0"/>
              <w:marRight w:val="0"/>
              <w:marTop w:val="0"/>
              <w:marBottom w:val="0"/>
              <w:divBdr>
                <w:top w:val="none" w:sz="0" w:space="0" w:color="auto"/>
                <w:left w:val="none" w:sz="0" w:space="0" w:color="auto"/>
                <w:bottom w:val="none" w:sz="0" w:space="0" w:color="auto"/>
                <w:right w:val="none" w:sz="0" w:space="0" w:color="auto"/>
              </w:divBdr>
            </w:div>
            <w:div w:id="1732001342">
              <w:marLeft w:val="0"/>
              <w:marRight w:val="0"/>
              <w:marTop w:val="0"/>
              <w:marBottom w:val="0"/>
              <w:divBdr>
                <w:top w:val="none" w:sz="0" w:space="0" w:color="auto"/>
                <w:left w:val="none" w:sz="0" w:space="0" w:color="auto"/>
                <w:bottom w:val="none" w:sz="0" w:space="0" w:color="auto"/>
                <w:right w:val="none" w:sz="0" w:space="0" w:color="auto"/>
              </w:divBdr>
            </w:div>
            <w:div w:id="1942032379">
              <w:marLeft w:val="0"/>
              <w:marRight w:val="0"/>
              <w:marTop w:val="0"/>
              <w:marBottom w:val="0"/>
              <w:divBdr>
                <w:top w:val="none" w:sz="0" w:space="0" w:color="auto"/>
                <w:left w:val="none" w:sz="0" w:space="0" w:color="auto"/>
                <w:bottom w:val="none" w:sz="0" w:space="0" w:color="auto"/>
                <w:right w:val="none" w:sz="0" w:space="0" w:color="auto"/>
              </w:divBdr>
            </w:div>
            <w:div w:id="672295950">
              <w:marLeft w:val="0"/>
              <w:marRight w:val="0"/>
              <w:marTop w:val="0"/>
              <w:marBottom w:val="0"/>
              <w:divBdr>
                <w:top w:val="none" w:sz="0" w:space="0" w:color="auto"/>
                <w:left w:val="none" w:sz="0" w:space="0" w:color="auto"/>
                <w:bottom w:val="none" w:sz="0" w:space="0" w:color="auto"/>
                <w:right w:val="none" w:sz="0" w:space="0" w:color="auto"/>
              </w:divBdr>
            </w:div>
            <w:div w:id="157505701">
              <w:marLeft w:val="0"/>
              <w:marRight w:val="0"/>
              <w:marTop w:val="0"/>
              <w:marBottom w:val="0"/>
              <w:divBdr>
                <w:top w:val="none" w:sz="0" w:space="0" w:color="auto"/>
                <w:left w:val="none" w:sz="0" w:space="0" w:color="auto"/>
                <w:bottom w:val="none" w:sz="0" w:space="0" w:color="auto"/>
                <w:right w:val="none" w:sz="0" w:space="0" w:color="auto"/>
              </w:divBdr>
            </w:div>
            <w:div w:id="1273319478">
              <w:marLeft w:val="0"/>
              <w:marRight w:val="0"/>
              <w:marTop w:val="0"/>
              <w:marBottom w:val="0"/>
              <w:divBdr>
                <w:top w:val="none" w:sz="0" w:space="0" w:color="auto"/>
                <w:left w:val="none" w:sz="0" w:space="0" w:color="auto"/>
                <w:bottom w:val="none" w:sz="0" w:space="0" w:color="auto"/>
                <w:right w:val="none" w:sz="0" w:space="0" w:color="auto"/>
              </w:divBdr>
            </w:div>
            <w:div w:id="1008603054">
              <w:marLeft w:val="0"/>
              <w:marRight w:val="0"/>
              <w:marTop w:val="0"/>
              <w:marBottom w:val="0"/>
              <w:divBdr>
                <w:top w:val="none" w:sz="0" w:space="0" w:color="auto"/>
                <w:left w:val="none" w:sz="0" w:space="0" w:color="auto"/>
                <w:bottom w:val="none" w:sz="0" w:space="0" w:color="auto"/>
                <w:right w:val="none" w:sz="0" w:space="0" w:color="auto"/>
              </w:divBdr>
            </w:div>
            <w:div w:id="464395310">
              <w:marLeft w:val="0"/>
              <w:marRight w:val="0"/>
              <w:marTop w:val="0"/>
              <w:marBottom w:val="0"/>
              <w:divBdr>
                <w:top w:val="none" w:sz="0" w:space="0" w:color="auto"/>
                <w:left w:val="none" w:sz="0" w:space="0" w:color="auto"/>
                <w:bottom w:val="none" w:sz="0" w:space="0" w:color="auto"/>
                <w:right w:val="none" w:sz="0" w:space="0" w:color="auto"/>
              </w:divBdr>
            </w:div>
            <w:div w:id="762606658">
              <w:marLeft w:val="0"/>
              <w:marRight w:val="0"/>
              <w:marTop w:val="0"/>
              <w:marBottom w:val="0"/>
              <w:divBdr>
                <w:top w:val="none" w:sz="0" w:space="0" w:color="auto"/>
                <w:left w:val="none" w:sz="0" w:space="0" w:color="auto"/>
                <w:bottom w:val="none" w:sz="0" w:space="0" w:color="auto"/>
                <w:right w:val="none" w:sz="0" w:space="0" w:color="auto"/>
              </w:divBdr>
            </w:div>
            <w:div w:id="606427699">
              <w:marLeft w:val="0"/>
              <w:marRight w:val="0"/>
              <w:marTop w:val="0"/>
              <w:marBottom w:val="0"/>
              <w:divBdr>
                <w:top w:val="none" w:sz="0" w:space="0" w:color="auto"/>
                <w:left w:val="none" w:sz="0" w:space="0" w:color="auto"/>
                <w:bottom w:val="none" w:sz="0" w:space="0" w:color="auto"/>
                <w:right w:val="none" w:sz="0" w:space="0" w:color="auto"/>
              </w:divBdr>
            </w:div>
            <w:div w:id="32586473">
              <w:marLeft w:val="0"/>
              <w:marRight w:val="0"/>
              <w:marTop w:val="0"/>
              <w:marBottom w:val="0"/>
              <w:divBdr>
                <w:top w:val="none" w:sz="0" w:space="0" w:color="auto"/>
                <w:left w:val="none" w:sz="0" w:space="0" w:color="auto"/>
                <w:bottom w:val="none" w:sz="0" w:space="0" w:color="auto"/>
                <w:right w:val="none" w:sz="0" w:space="0" w:color="auto"/>
              </w:divBdr>
            </w:div>
            <w:div w:id="632368946">
              <w:marLeft w:val="0"/>
              <w:marRight w:val="0"/>
              <w:marTop w:val="0"/>
              <w:marBottom w:val="0"/>
              <w:divBdr>
                <w:top w:val="none" w:sz="0" w:space="0" w:color="auto"/>
                <w:left w:val="none" w:sz="0" w:space="0" w:color="auto"/>
                <w:bottom w:val="none" w:sz="0" w:space="0" w:color="auto"/>
                <w:right w:val="none" w:sz="0" w:space="0" w:color="auto"/>
              </w:divBdr>
            </w:div>
            <w:div w:id="445005778">
              <w:marLeft w:val="0"/>
              <w:marRight w:val="0"/>
              <w:marTop w:val="0"/>
              <w:marBottom w:val="0"/>
              <w:divBdr>
                <w:top w:val="none" w:sz="0" w:space="0" w:color="auto"/>
                <w:left w:val="none" w:sz="0" w:space="0" w:color="auto"/>
                <w:bottom w:val="none" w:sz="0" w:space="0" w:color="auto"/>
                <w:right w:val="none" w:sz="0" w:space="0" w:color="auto"/>
              </w:divBdr>
            </w:div>
            <w:div w:id="1690595886">
              <w:marLeft w:val="0"/>
              <w:marRight w:val="0"/>
              <w:marTop w:val="0"/>
              <w:marBottom w:val="0"/>
              <w:divBdr>
                <w:top w:val="none" w:sz="0" w:space="0" w:color="auto"/>
                <w:left w:val="none" w:sz="0" w:space="0" w:color="auto"/>
                <w:bottom w:val="none" w:sz="0" w:space="0" w:color="auto"/>
                <w:right w:val="none" w:sz="0" w:space="0" w:color="auto"/>
              </w:divBdr>
            </w:div>
            <w:div w:id="1934825561">
              <w:marLeft w:val="0"/>
              <w:marRight w:val="0"/>
              <w:marTop w:val="0"/>
              <w:marBottom w:val="0"/>
              <w:divBdr>
                <w:top w:val="none" w:sz="0" w:space="0" w:color="auto"/>
                <w:left w:val="none" w:sz="0" w:space="0" w:color="auto"/>
                <w:bottom w:val="none" w:sz="0" w:space="0" w:color="auto"/>
                <w:right w:val="none" w:sz="0" w:space="0" w:color="auto"/>
              </w:divBdr>
            </w:div>
            <w:div w:id="675427754">
              <w:marLeft w:val="0"/>
              <w:marRight w:val="0"/>
              <w:marTop w:val="0"/>
              <w:marBottom w:val="0"/>
              <w:divBdr>
                <w:top w:val="none" w:sz="0" w:space="0" w:color="auto"/>
                <w:left w:val="none" w:sz="0" w:space="0" w:color="auto"/>
                <w:bottom w:val="none" w:sz="0" w:space="0" w:color="auto"/>
                <w:right w:val="none" w:sz="0" w:space="0" w:color="auto"/>
              </w:divBdr>
            </w:div>
            <w:div w:id="1665628150">
              <w:marLeft w:val="0"/>
              <w:marRight w:val="0"/>
              <w:marTop w:val="0"/>
              <w:marBottom w:val="0"/>
              <w:divBdr>
                <w:top w:val="none" w:sz="0" w:space="0" w:color="auto"/>
                <w:left w:val="none" w:sz="0" w:space="0" w:color="auto"/>
                <w:bottom w:val="none" w:sz="0" w:space="0" w:color="auto"/>
                <w:right w:val="none" w:sz="0" w:space="0" w:color="auto"/>
              </w:divBdr>
            </w:div>
            <w:div w:id="1445880638">
              <w:marLeft w:val="0"/>
              <w:marRight w:val="0"/>
              <w:marTop w:val="0"/>
              <w:marBottom w:val="0"/>
              <w:divBdr>
                <w:top w:val="none" w:sz="0" w:space="0" w:color="auto"/>
                <w:left w:val="none" w:sz="0" w:space="0" w:color="auto"/>
                <w:bottom w:val="none" w:sz="0" w:space="0" w:color="auto"/>
                <w:right w:val="none" w:sz="0" w:space="0" w:color="auto"/>
              </w:divBdr>
            </w:div>
            <w:div w:id="1903520262">
              <w:marLeft w:val="0"/>
              <w:marRight w:val="0"/>
              <w:marTop w:val="0"/>
              <w:marBottom w:val="0"/>
              <w:divBdr>
                <w:top w:val="none" w:sz="0" w:space="0" w:color="auto"/>
                <w:left w:val="none" w:sz="0" w:space="0" w:color="auto"/>
                <w:bottom w:val="none" w:sz="0" w:space="0" w:color="auto"/>
                <w:right w:val="none" w:sz="0" w:space="0" w:color="auto"/>
              </w:divBdr>
            </w:div>
            <w:div w:id="203062759">
              <w:marLeft w:val="0"/>
              <w:marRight w:val="0"/>
              <w:marTop w:val="0"/>
              <w:marBottom w:val="0"/>
              <w:divBdr>
                <w:top w:val="none" w:sz="0" w:space="0" w:color="auto"/>
                <w:left w:val="none" w:sz="0" w:space="0" w:color="auto"/>
                <w:bottom w:val="none" w:sz="0" w:space="0" w:color="auto"/>
                <w:right w:val="none" w:sz="0" w:space="0" w:color="auto"/>
              </w:divBdr>
            </w:div>
            <w:div w:id="810903980">
              <w:marLeft w:val="0"/>
              <w:marRight w:val="0"/>
              <w:marTop w:val="0"/>
              <w:marBottom w:val="0"/>
              <w:divBdr>
                <w:top w:val="none" w:sz="0" w:space="0" w:color="auto"/>
                <w:left w:val="none" w:sz="0" w:space="0" w:color="auto"/>
                <w:bottom w:val="none" w:sz="0" w:space="0" w:color="auto"/>
                <w:right w:val="none" w:sz="0" w:space="0" w:color="auto"/>
              </w:divBdr>
            </w:div>
            <w:div w:id="341444019">
              <w:marLeft w:val="0"/>
              <w:marRight w:val="0"/>
              <w:marTop w:val="0"/>
              <w:marBottom w:val="0"/>
              <w:divBdr>
                <w:top w:val="none" w:sz="0" w:space="0" w:color="auto"/>
                <w:left w:val="none" w:sz="0" w:space="0" w:color="auto"/>
                <w:bottom w:val="none" w:sz="0" w:space="0" w:color="auto"/>
                <w:right w:val="none" w:sz="0" w:space="0" w:color="auto"/>
              </w:divBdr>
            </w:div>
            <w:div w:id="900557147">
              <w:marLeft w:val="0"/>
              <w:marRight w:val="0"/>
              <w:marTop w:val="0"/>
              <w:marBottom w:val="0"/>
              <w:divBdr>
                <w:top w:val="none" w:sz="0" w:space="0" w:color="auto"/>
                <w:left w:val="none" w:sz="0" w:space="0" w:color="auto"/>
                <w:bottom w:val="none" w:sz="0" w:space="0" w:color="auto"/>
                <w:right w:val="none" w:sz="0" w:space="0" w:color="auto"/>
              </w:divBdr>
            </w:div>
            <w:div w:id="1822504557">
              <w:marLeft w:val="0"/>
              <w:marRight w:val="0"/>
              <w:marTop w:val="0"/>
              <w:marBottom w:val="0"/>
              <w:divBdr>
                <w:top w:val="none" w:sz="0" w:space="0" w:color="auto"/>
                <w:left w:val="none" w:sz="0" w:space="0" w:color="auto"/>
                <w:bottom w:val="none" w:sz="0" w:space="0" w:color="auto"/>
                <w:right w:val="none" w:sz="0" w:space="0" w:color="auto"/>
              </w:divBdr>
            </w:div>
            <w:div w:id="186526492">
              <w:marLeft w:val="0"/>
              <w:marRight w:val="0"/>
              <w:marTop w:val="0"/>
              <w:marBottom w:val="0"/>
              <w:divBdr>
                <w:top w:val="none" w:sz="0" w:space="0" w:color="auto"/>
                <w:left w:val="none" w:sz="0" w:space="0" w:color="auto"/>
                <w:bottom w:val="none" w:sz="0" w:space="0" w:color="auto"/>
                <w:right w:val="none" w:sz="0" w:space="0" w:color="auto"/>
              </w:divBdr>
            </w:div>
            <w:div w:id="1877153238">
              <w:marLeft w:val="0"/>
              <w:marRight w:val="0"/>
              <w:marTop w:val="0"/>
              <w:marBottom w:val="0"/>
              <w:divBdr>
                <w:top w:val="none" w:sz="0" w:space="0" w:color="auto"/>
                <w:left w:val="none" w:sz="0" w:space="0" w:color="auto"/>
                <w:bottom w:val="none" w:sz="0" w:space="0" w:color="auto"/>
                <w:right w:val="none" w:sz="0" w:space="0" w:color="auto"/>
              </w:divBdr>
            </w:div>
            <w:div w:id="1170098077">
              <w:marLeft w:val="0"/>
              <w:marRight w:val="0"/>
              <w:marTop w:val="0"/>
              <w:marBottom w:val="0"/>
              <w:divBdr>
                <w:top w:val="none" w:sz="0" w:space="0" w:color="auto"/>
                <w:left w:val="none" w:sz="0" w:space="0" w:color="auto"/>
                <w:bottom w:val="none" w:sz="0" w:space="0" w:color="auto"/>
                <w:right w:val="none" w:sz="0" w:space="0" w:color="auto"/>
              </w:divBdr>
            </w:div>
            <w:div w:id="1724065242">
              <w:marLeft w:val="0"/>
              <w:marRight w:val="0"/>
              <w:marTop w:val="0"/>
              <w:marBottom w:val="0"/>
              <w:divBdr>
                <w:top w:val="none" w:sz="0" w:space="0" w:color="auto"/>
                <w:left w:val="none" w:sz="0" w:space="0" w:color="auto"/>
                <w:bottom w:val="none" w:sz="0" w:space="0" w:color="auto"/>
                <w:right w:val="none" w:sz="0" w:space="0" w:color="auto"/>
              </w:divBdr>
            </w:div>
            <w:div w:id="1050155464">
              <w:marLeft w:val="0"/>
              <w:marRight w:val="0"/>
              <w:marTop w:val="0"/>
              <w:marBottom w:val="0"/>
              <w:divBdr>
                <w:top w:val="none" w:sz="0" w:space="0" w:color="auto"/>
                <w:left w:val="none" w:sz="0" w:space="0" w:color="auto"/>
                <w:bottom w:val="none" w:sz="0" w:space="0" w:color="auto"/>
                <w:right w:val="none" w:sz="0" w:space="0" w:color="auto"/>
              </w:divBdr>
            </w:div>
            <w:div w:id="546570325">
              <w:marLeft w:val="0"/>
              <w:marRight w:val="0"/>
              <w:marTop w:val="0"/>
              <w:marBottom w:val="0"/>
              <w:divBdr>
                <w:top w:val="none" w:sz="0" w:space="0" w:color="auto"/>
                <w:left w:val="none" w:sz="0" w:space="0" w:color="auto"/>
                <w:bottom w:val="none" w:sz="0" w:space="0" w:color="auto"/>
                <w:right w:val="none" w:sz="0" w:space="0" w:color="auto"/>
              </w:divBdr>
            </w:div>
            <w:div w:id="896745473">
              <w:marLeft w:val="0"/>
              <w:marRight w:val="0"/>
              <w:marTop w:val="0"/>
              <w:marBottom w:val="0"/>
              <w:divBdr>
                <w:top w:val="none" w:sz="0" w:space="0" w:color="auto"/>
                <w:left w:val="none" w:sz="0" w:space="0" w:color="auto"/>
                <w:bottom w:val="none" w:sz="0" w:space="0" w:color="auto"/>
                <w:right w:val="none" w:sz="0" w:space="0" w:color="auto"/>
              </w:divBdr>
            </w:div>
            <w:div w:id="1956210306">
              <w:marLeft w:val="0"/>
              <w:marRight w:val="0"/>
              <w:marTop w:val="0"/>
              <w:marBottom w:val="0"/>
              <w:divBdr>
                <w:top w:val="none" w:sz="0" w:space="0" w:color="auto"/>
                <w:left w:val="none" w:sz="0" w:space="0" w:color="auto"/>
                <w:bottom w:val="none" w:sz="0" w:space="0" w:color="auto"/>
                <w:right w:val="none" w:sz="0" w:space="0" w:color="auto"/>
              </w:divBdr>
            </w:div>
            <w:div w:id="769276544">
              <w:marLeft w:val="0"/>
              <w:marRight w:val="0"/>
              <w:marTop w:val="0"/>
              <w:marBottom w:val="0"/>
              <w:divBdr>
                <w:top w:val="none" w:sz="0" w:space="0" w:color="auto"/>
                <w:left w:val="none" w:sz="0" w:space="0" w:color="auto"/>
                <w:bottom w:val="none" w:sz="0" w:space="0" w:color="auto"/>
                <w:right w:val="none" w:sz="0" w:space="0" w:color="auto"/>
              </w:divBdr>
            </w:div>
            <w:div w:id="1518035643">
              <w:marLeft w:val="0"/>
              <w:marRight w:val="0"/>
              <w:marTop w:val="0"/>
              <w:marBottom w:val="0"/>
              <w:divBdr>
                <w:top w:val="none" w:sz="0" w:space="0" w:color="auto"/>
                <w:left w:val="none" w:sz="0" w:space="0" w:color="auto"/>
                <w:bottom w:val="none" w:sz="0" w:space="0" w:color="auto"/>
                <w:right w:val="none" w:sz="0" w:space="0" w:color="auto"/>
              </w:divBdr>
            </w:div>
            <w:div w:id="1331299011">
              <w:marLeft w:val="0"/>
              <w:marRight w:val="0"/>
              <w:marTop w:val="0"/>
              <w:marBottom w:val="0"/>
              <w:divBdr>
                <w:top w:val="none" w:sz="0" w:space="0" w:color="auto"/>
                <w:left w:val="none" w:sz="0" w:space="0" w:color="auto"/>
                <w:bottom w:val="none" w:sz="0" w:space="0" w:color="auto"/>
                <w:right w:val="none" w:sz="0" w:space="0" w:color="auto"/>
              </w:divBdr>
            </w:div>
            <w:div w:id="1899854928">
              <w:marLeft w:val="0"/>
              <w:marRight w:val="0"/>
              <w:marTop w:val="0"/>
              <w:marBottom w:val="0"/>
              <w:divBdr>
                <w:top w:val="none" w:sz="0" w:space="0" w:color="auto"/>
                <w:left w:val="none" w:sz="0" w:space="0" w:color="auto"/>
                <w:bottom w:val="none" w:sz="0" w:space="0" w:color="auto"/>
                <w:right w:val="none" w:sz="0" w:space="0" w:color="auto"/>
              </w:divBdr>
            </w:div>
            <w:div w:id="1168521462">
              <w:marLeft w:val="0"/>
              <w:marRight w:val="0"/>
              <w:marTop w:val="0"/>
              <w:marBottom w:val="0"/>
              <w:divBdr>
                <w:top w:val="none" w:sz="0" w:space="0" w:color="auto"/>
                <w:left w:val="none" w:sz="0" w:space="0" w:color="auto"/>
                <w:bottom w:val="none" w:sz="0" w:space="0" w:color="auto"/>
                <w:right w:val="none" w:sz="0" w:space="0" w:color="auto"/>
              </w:divBdr>
            </w:div>
            <w:div w:id="1630017672">
              <w:marLeft w:val="0"/>
              <w:marRight w:val="0"/>
              <w:marTop w:val="0"/>
              <w:marBottom w:val="0"/>
              <w:divBdr>
                <w:top w:val="none" w:sz="0" w:space="0" w:color="auto"/>
                <w:left w:val="none" w:sz="0" w:space="0" w:color="auto"/>
                <w:bottom w:val="none" w:sz="0" w:space="0" w:color="auto"/>
                <w:right w:val="none" w:sz="0" w:space="0" w:color="auto"/>
              </w:divBdr>
            </w:div>
            <w:div w:id="481654825">
              <w:marLeft w:val="0"/>
              <w:marRight w:val="0"/>
              <w:marTop w:val="0"/>
              <w:marBottom w:val="0"/>
              <w:divBdr>
                <w:top w:val="none" w:sz="0" w:space="0" w:color="auto"/>
                <w:left w:val="none" w:sz="0" w:space="0" w:color="auto"/>
                <w:bottom w:val="none" w:sz="0" w:space="0" w:color="auto"/>
                <w:right w:val="none" w:sz="0" w:space="0" w:color="auto"/>
              </w:divBdr>
            </w:div>
            <w:div w:id="1641838848">
              <w:marLeft w:val="0"/>
              <w:marRight w:val="0"/>
              <w:marTop w:val="0"/>
              <w:marBottom w:val="0"/>
              <w:divBdr>
                <w:top w:val="none" w:sz="0" w:space="0" w:color="auto"/>
                <w:left w:val="none" w:sz="0" w:space="0" w:color="auto"/>
                <w:bottom w:val="none" w:sz="0" w:space="0" w:color="auto"/>
                <w:right w:val="none" w:sz="0" w:space="0" w:color="auto"/>
              </w:divBdr>
            </w:div>
            <w:div w:id="472915064">
              <w:marLeft w:val="0"/>
              <w:marRight w:val="0"/>
              <w:marTop w:val="0"/>
              <w:marBottom w:val="0"/>
              <w:divBdr>
                <w:top w:val="none" w:sz="0" w:space="0" w:color="auto"/>
                <w:left w:val="none" w:sz="0" w:space="0" w:color="auto"/>
                <w:bottom w:val="none" w:sz="0" w:space="0" w:color="auto"/>
                <w:right w:val="none" w:sz="0" w:space="0" w:color="auto"/>
              </w:divBdr>
            </w:div>
            <w:div w:id="1087309985">
              <w:marLeft w:val="0"/>
              <w:marRight w:val="0"/>
              <w:marTop w:val="0"/>
              <w:marBottom w:val="0"/>
              <w:divBdr>
                <w:top w:val="none" w:sz="0" w:space="0" w:color="auto"/>
                <w:left w:val="none" w:sz="0" w:space="0" w:color="auto"/>
                <w:bottom w:val="none" w:sz="0" w:space="0" w:color="auto"/>
                <w:right w:val="none" w:sz="0" w:space="0" w:color="auto"/>
              </w:divBdr>
            </w:div>
            <w:div w:id="42144472">
              <w:marLeft w:val="0"/>
              <w:marRight w:val="0"/>
              <w:marTop w:val="0"/>
              <w:marBottom w:val="0"/>
              <w:divBdr>
                <w:top w:val="none" w:sz="0" w:space="0" w:color="auto"/>
                <w:left w:val="none" w:sz="0" w:space="0" w:color="auto"/>
                <w:bottom w:val="none" w:sz="0" w:space="0" w:color="auto"/>
                <w:right w:val="none" w:sz="0" w:space="0" w:color="auto"/>
              </w:divBdr>
            </w:div>
            <w:div w:id="1890728895">
              <w:marLeft w:val="0"/>
              <w:marRight w:val="0"/>
              <w:marTop w:val="0"/>
              <w:marBottom w:val="0"/>
              <w:divBdr>
                <w:top w:val="none" w:sz="0" w:space="0" w:color="auto"/>
                <w:left w:val="none" w:sz="0" w:space="0" w:color="auto"/>
                <w:bottom w:val="none" w:sz="0" w:space="0" w:color="auto"/>
                <w:right w:val="none" w:sz="0" w:space="0" w:color="auto"/>
              </w:divBdr>
            </w:div>
            <w:div w:id="591201014">
              <w:marLeft w:val="0"/>
              <w:marRight w:val="0"/>
              <w:marTop w:val="0"/>
              <w:marBottom w:val="0"/>
              <w:divBdr>
                <w:top w:val="none" w:sz="0" w:space="0" w:color="auto"/>
                <w:left w:val="none" w:sz="0" w:space="0" w:color="auto"/>
                <w:bottom w:val="none" w:sz="0" w:space="0" w:color="auto"/>
                <w:right w:val="none" w:sz="0" w:space="0" w:color="auto"/>
              </w:divBdr>
            </w:div>
            <w:div w:id="648824634">
              <w:marLeft w:val="0"/>
              <w:marRight w:val="0"/>
              <w:marTop w:val="0"/>
              <w:marBottom w:val="0"/>
              <w:divBdr>
                <w:top w:val="none" w:sz="0" w:space="0" w:color="auto"/>
                <w:left w:val="none" w:sz="0" w:space="0" w:color="auto"/>
                <w:bottom w:val="none" w:sz="0" w:space="0" w:color="auto"/>
                <w:right w:val="none" w:sz="0" w:space="0" w:color="auto"/>
              </w:divBdr>
            </w:div>
            <w:div w:id="300963877">
              <w:marLeft w:val="0"/>
              <w:marRight w:val="0"/>
              <w:marTop w:val="0"/>
              <w:marBottom w:val="0"/>
              <w:divBdr>
                <w:top w:val="none" w:sz="0" w:space="0" w:color="auto"/>
                <w:left w:val="none" w:sz="0" w:space="0" w:color="auto"/>
                <w:bottom w:val="none" w:sz="0" w:space="0" w:color="auto"/>
                <w:right w:val="none" w:sz="0" w:space="0" w:color="auto"/>
              </w:divBdr>
            </w:div>
            <w:div w:id="841773418">
              <w:marLeft w:val="0"/>
              <w:marRight w:val="0"/>
              <w:marTop w:val="0"/>
              <w:marBottom w:val="0"/>
              <w:divBdr>
                <w:top w:val="none" w:sz="0" w:space="0" w:color="auto"/>
                <w:left w:val="none" w:sz="0" w:space="0" w:color="auto"/>
                <w:bottom w:val="none" w:sz="0" w:space="0" w:color="auto"/>
                <w:right w:val="none" w:sz="0" w:space="0" w:color="auto"/>
              </w:divBdr>
            </w:div>
            <w:div w:id="503130528">
              <w:marLeft w:val="0"/>
              <w:marRight w:val="0"/>
              <w:marTop w:val="0"/>
              <w:marBottom w:val="0"/>
              <w:divBdr>
                <w:top w:val="none" w:sz="0" w:space="0" w:color="auto"/>
                <w:left w:val="none" w:sz="0" w:space="0" w:color="auto"/>
                <w:bottom w:val="none" w:sz="0" w:space="0" w:color="auto"/>
                <w:right w:val="none" w:sz="0" w:space="0" w:color="auto"/>
              </w:divBdr>
            </w:div>
            <w:div w:id="1659187915">
              <w:marLeft w:val="0"/>
              <w:marRight w:val="0"/>
              <w:marTop w:val="0"/>
              <w:marBottom w:val="0"/>
              <w:divBdr>
                <w:top w:val="none" w:sz="0" w:space="0" w:color="auto"/>
                <w:left w:val="none" w:sz="0" w:space="0" w:color="auto"/>
                <w:bottom w:val="none" w:sz="0" w:space="0" w:color="auto"/>
                <w:right w:val="none" w:sz="0" w:space="0" w:color="auto"/>
              </w:divBdr>
            </w:div>
            <w:div w:id="925191094">
              <w:marLeft w:val="0"/>
              <w:marRight w:val="0"/>
              <w:marTop w:val="0"/>
              <w:marBottom w:val="0"/>
              <w:divBdr>
                <w:top w:val="none" w:sz="0" w:space="0" w:color="auto"/>
                <w:left w:val="none" w:sz="0" w:space="0" w:color="auto"/>
                <w:bottom w:val="none" w:sz="0" w:space="0" w:color="auto"/>
                <w:right w:val="none" w:sz="0" w:space="0" w:color="auto"/>
              </w:divBdr>
            </w:div>
            <w:div w:id="762339713">
              <w:marLeft w:val="0"/>
              <w:marRight w:val="0"/>
              <w:marTop w:val="0"/>
              <w:marBottom w:val="0"/>
              <w:divBdr>
                <w:top w:val="none" w:sz="0" w:space="0" w:color="auto"/>
                <w:left w:val="none" w:sz="0" w:space="0" w:color="auto"/>
                <w:bottom w:val="none" w:sz="0" w:space="0" w:color="auto"/>
                <w:right w:val="none" w:sz="0" w:space="0" w:color="auto"/>
              </w:divBdr>
            </w:div>
            <w:div w:id="674770430">
              <w:marLeft w:val="0"/>
              <w:marRight w:val="0"/>
              <w:marTop w:val="0"/>
              <w:marBottom w:val="0"/>
              <w:divBdr>
                <w:top w:val="none" w:sz="0" w:space="0" w:color="auto"/>
                <w:left w:val="none" w:sz="0" w:space="0" w:color="auto"/>
                <w:bottom w:val="none" w:sz="0" w:space="0" w:color="auto"/>
                <w:right w:val="none" w:sz="0" w:space="0" w:color="auto"/>
              </w:divBdr>
            </w:div>
            <w:div w:id="1832403535">
              <w:marLeft w:val="0"/>
              <w:marRight w:val="0"/>
              <w:marTop w:val="0"/>
              <w:marBottom w:val="0"/>
              <w:divBdr>
                <w:top w:val="none" w:sz="0" w:space="0" w:color="auto"/>
                <w:left w:val="none" w:sz="0" w:space="0" w:color="auto"/>
                <w:bottom w:val="none" w:sz="0" w:space="0" w:color="auto"/>
                <w:right w:val="none" w:sz="0" w:space="0" w:color="auto"/>
              </w:divBdr>
            </w:div>
            <w:div w:id="1559586869">
              <w:marLeft w:val="0"/>
              <w:marRight w:val="0"/>
              <w:marTop w:val="0"/>
              <w:marBottom w:val="0"/>
              <w:divBdr>
                <w:top w:val="none" w:sz="0" w:space="0" w:color="auto"/>
                <w:left w:val="none" w:sz="0" w:space="0" w:color="auto"/>
                <w:bottom w:val="none" w:sz="0" w:space="0" w:color="auto"/>
                <w:right w:val="none" w:sz="0" w:space="0" w:color="auto"/>
              </w:divBdr>
            </w:div>
            <w:div w:id="1614248868">
              <w:marLeft w:val="0"/>
              <w:marRight w:val="0"/>
              <w:marTop w:val="0"/>
              <w:marBottom w:val="0"/>
              <w:divBdr>
                <w:top w:val="none" w:sz="0" w:space="0" w:color="auto"/>
                <w:left w:val="none" w:sz="0" w:space="0" w:color="auto"/>
                <w:bottom w:val="none" w:sz="0" w:space="0" w:color="auto"/>
                <w:right w:val="none" w:sz="0" w:space="0" w:color="auto"/>
              </w:divBdr>
            </w:div>
            <w:div w:id="1607038312">
              <w:marLeft w:val="0"/>
              <w:marRight w:val="0"/>
              <w:marTop w:val="0"/>
              <w:marBottom w:val="0"/>
              <w:divBdr>
                <w:top w:val="none" w:sz="0" w:space="0" w:color="auto"/>
                <w:left w:val="none" w:sz="0" w:space="0" w:color="auto"/>
                <w:bottom w:val="none" w:sz="0" w:space="0" w:color="auto"/>
                <w:right w:val="none" w:sz="0" w:space="0" w:color="auto"/>
              </w:divBdr>
            </w:div>
            <w:div w:id="886985698">
              <w:marLeft w:val="0"/>
              <w:marRight w:val="0"/>
              <w:marTop w:val="0"/>
              <w:marBottom w:val="0"/>
              <w:divBdr>
                <w:top w:val="none" w:sz="0" w:space="0" w:color="auto"/>
                <w:left w:val="none" w:sz="0" w:space="0" w:color="auto"/>
                <w:bottom w:val="none" w:sz="0" w:space="0" w:color="auto"/>
                <w:right w:val="none" w:sz="0" w:space="0" w:color="auto"/>
              </w:divBdr>
            </w:div>
            <w:div w:id="3215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4697">
      <w:bodyDiv w:val="1"/>
      <w:marLeft w:val="0"/>
      <w:marRight w:val="0"/>
      <w:marTop w:val="0"/>
      <w:marBottom w:val="0"/>
      <w:divBdr>
        <w:top w:val="none" w:sz="0" w:space="0" w:color="auto"/>
        <w:left w:val="none" w:sz="0" w:space="0" w:color="auto"/>
        <w:bottom w:val="none" w:sz="0" w:space="0" w:color="auto"/>
        <w:right w:val="none" w:sz="0" w:space="0" w:color="auto"/>
      </w:divBdr>
    </w:div>
    <w:div w:id="2079161239">
      <w:bodyDiv w:val="1"/>
      <w:marLeft w:val="0"/>
      <w:marRight w:val="0"/>
      <w:marTop w:val="0"/>
      <w:marBottom w:val="0"/>
      <w:divBdr>
        <w:top w:val="none" w:sz="0" w:space="0" w:color="auto"/>
        <w:left w:val="none" w:sz="0" w:space="0" w:color="auto"/>
        <w:bottom w:val="none" w:sz="0" w:space="0" w:color="auto"/>
        <w:right w:val="none" w:sz="0" w:space="0" w:color="auto"/>
      </w:divBdr>
    </w:div>
    <w:div w:id="208201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woolsgrove@ecf.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standards.cen.eu/dyn/www/f?p=204:32:0::::FSP_ORG_ID,FSP_LANG_ID:6314,25&amp;cs=15471628D918031F2386C2FFB70BED679" TargetMode="External"/><Relationship Id="rId13" Type="http://schemas.openxmlformats.org/officeDocument/2006/relationships/hyperlink" Target="http://www.ec.europa.eu/environment/europeangreencapital/wp-content/uploads/2011/05/EGCNantesUKChap2-F.pdf" TargetMode="External"/><Relationship Id="rId18" Type="http://schemas.openxmlformats.org/officeDocument/2006/relationships/hyperlink" Target="http://www.smart-ebikes.co.uk/" TargetMode="External"/><Relationship Id="rId26" Type="http://schemas.openxmlformats.org/officeDocument/2006/relationships/hyperlink" Target="http://www.belfasttelegraph.co.uk/news/northern-ireland/halfords-suspends-sale-of-ebikes-in-northern-ireland-due-to-confusing-legislation-36011569.html" TargetMode="External"/><Relationship Id="rId39" Type="http://schemas.openxmlformats.org/officeDocument/2006/relationships/hyperlink" Target="http://www.eurovelo.com/en" TargetMode="External"/><Relationship Id="rId3" Type="http://schemas.openxmlformats.org/officeDocument/2006/relationships/hyperlink" Target="https://ec.europa.eu/info/law/law-making-process/overview-law-making-process/evaluating-and-improving-existing-laws/reducing-burdens-and-simplifying-law/refit-making-eu-law-simpler-and-less-costly_en" TargetMode="External"/><Relationship Id="rId21" Type="http://schemas.openxmlformats.org/officeDocument/2006/relationships/hyperlink" Target="http://www.tandfonline.com/doi/full/10.1080/15568318.2017.1302526" TargetMode="External"/><Relationship Id="rId34" Type="http://schemas.openxmlformats.org/officeDocument/2006/relationships/hyperlink" Target="https://www.swov.nl/en/facts-figures/factsheet/pedelecs-and-speed-pedelecs" TargetMode="External"/><Relationship Id="rId7" Type="http://schemas.openxmlformats.org/officeDocument/2006/relationships/hyperlink" Target="http://eur-lex.europa.eu/legal-content/EN/TXT/?uri=CELEX:32013R0168" TargetMode="External"/><Relationship Id="rId12" Type="http://schemas.openxmlformats.org/officeDocument/2006/relationships/hyperlink" Target="http://www.cso.ie/en/releasesandpublications/ep/p-nts/nts2016/hwt/" TargetMode="External"/><Relationship Id="rId17" Type="http://schemas.openxmlformats.org/officeDocument/2006/relationships/hyperlink" Target="https://en.wikipedia.org/wiki/Metabolic_equivalent" TargetMode="External"/><Relationship Id="rId25" Type="http://schemas.openxmlformats.org/officeDocument/2006/relationships/hyperlink" Target="mailto:c.woolsgrove@ecf.com" TargetMode="External"/><Relationship Id="rId33" Type="http://schemas.openxmlformats.org/officeDocument/2006/relationships/hyperlink" Target="http://dx.doi.org/10.2139/ssrn.1368064" TargetMode="External"/><Relationship Id="rId38" Type="http://schemas.openxmlformats.org/officeDocument/2006/relationships/hyperlink" Target="http://www1.toronto.ca/wps/portal/contentonly?vgnextoid=0be4970aa08c1410VgnVCM10000071d60f89RCRD" TargetMode="External"/><Relationship Id="rId2" Type="http://schemas.openxmlformats.org/officeDocument/2006/relationships/hyperlink" Target="http://curia.europa.eu/juris/liste.jsf?num=C-162/13" TargetMode="External"/><Relationship Id="rId16" Type="http://schemas.openxmlformats.org/officeDocument/2006/relationships/hyperlink" Target="https://ecf.com/sites/ecf.com/files/ECF_CO2_WEB.pdf" TargetMode="External"/><Relationship Id="rId20" Type="http://schemas.openxmlformats.org/officeDocument/2006/relationships/hyperlink" Target="http://www.news.admin.ch/NSBSubscriber/message/attachments/36765.pdf" TargetMode="External"/><Relationship Id="rId29" Type="http://schemas.openxmlformats.org/officeDocument/2006/relationships/hyperlink" Target="http://www.eco-logica.co.uk/pdf/wtpp18.3.pdf" TargetMode="External"/><Relationship Id="rId1" Type="http://schemas.openxmlformats.org/officeDocument/2006/relationships/hyperlink" Target="http://eur-lex.europa.eu/legal-content/EN/TXT/?uri=CELEX%3A32009L0103" TargetMode="External"/><Relationship Id="rId6" Type="http://schemas.openxmlformats.org/officeDocument/2006/relationships/hyperlink" Target="https://standards.cen.eu/dyn/www/f?p=204:32:0::::FSP_ORG_ID,FSP_LANG_ID:6314,25&amp;cs=15471628D918031F2386C2FFB70BED679" TargetMode="External"/><Relationship Id="rId11" Type="http://schemas.openxmlformats.org/officeDocument/2006/relationships/hyperlink" Target="https://www.gov.uk/government/statistics/transport-statistics-great-britain-2016" TargetMode="External"/><Relationship Id="rId24" Type="http://schemas.openxmlformats.org/officeDocument/2006/relationships/hyperlink" Target="https://ecf.com/resources/cycling-facts-and-figures" TargetMode="External"/><Relationship Id="rId32" Type="http://schemas.openxmlformats.org/officeDocument/2006/relationships/hyperlink" Target="http://www.who.int/violence_injury_prevention/road_traffic/activities/roadsafety_training_manual_unit_2.pdf" TargetMode="External"/><Relationship Id="rId37" Type="http://schemas.openxmlformats.org/officeDocument/2006/relationships/hyperlink" Target="http://www.ottawasun.com/2012/01/13/staff-to-council-no-bicycle-licences" TargetMode="External"/><Relationship Id="rId5" Type="http://schemas.openxmlformats.org/officeDocument/2006/relationships/hyperlink" Target="http://eur-lex.europa.eu/legal-content/EN/TXT/?uri=CELEX:32013R0168" TargetMode="External"/><Relationship Id="rId15" Type="http://schemas.openxmlformats.org/officeDocument/2006/relationships/hyperlink" Target="http://www.conebi.eu/?wpdmdl=1717" TargetMode="External"/><Relationship Id="rId23" Type="http://schemas.openxmlformats.org/officeDocument/2006/relationships/hyperlink" Target="http://www.pedegoelectricbikes.com/wp-content/uploads/2016/08/Pedelec-Health-Study.pdf" TargetMode="External"/><Relationship Id="rId28" Type="http://schemas.openxmlformats.org/officeDocument/2006/relationships/hyperlink" Target="http://www.monash.edu.au/miri/research/reports/muarc032.html" TargetMode="External"/><Relationship Id="rId36" Type="http://schemas.openxmlformats.org/officeDocument/2006/relationships/hyperlink" Target="https://www.pro-velo.ch/fr/pro-velo/actualites/actualites-archives/actualites-archivees/adieu-vignette-velo/" TargetMode="External"/><Relationship Id="rId10" Type="http://schemas.openxmlformats.org/officeDocument/2006/relationships/hyperlink" Target="https://ec.europa.eu/info/law/better-regulation/initiatives/ares-2017-3714481_en" TargetMode="External"/><Relationship Id="rId19" Type="http://schemas.openxmlformats.org/officeDocument/2006/relationships/hyperlink" Target="https://ecf.com/sites/ecf.com/files/ECF_CO2_WEB.pdf" TargetMode="External"/><Relationship Id="rId31" Type="http://schemas.openxmlformats.org/officeDocument/2006/relationships/hyperlink" Target="http://www.cyclehelmets.org/1032.html" TargetMode="External"/><Relationship Id="rId4" Type="http://schemas.openxmlformats.org/officeDocument/2006/relationships/hyperlink" Target="https://ec.europa.eu/info/law/better-regulation/initiative/39849/attachment/090166e5b3f48c10_cs" TargetMode="External"/><Relationship Id="rId9" Type="http://schemas.openxmlformats.org/officeDocument/2006/relationships/hyperlink" Target="https://www.munichre.com/topics-online/en/2012/02/e-bikes" TargetMode="External"/><Relationship Id="rId14" Type="http://schemas.openxmlformats.org/officeDocument/2006/relationships/hyperlink" Target="http://www.conebi.eu/?wpdmdl=1717" TargetMode="External"/><Relationship Id="rId22" Type="http://schemas.openxmlformats.org/officeDocument/2006/relationships/hyperlink" Target="http://www.sciencedirect.com/science/article/pii/S0968090X16000747" TargetMode="External"/><Relationship Id="rId27" Type="http://schemas.openxmlformats.org/officeDocument/2006/relationships/hyperlink" Target="http://www.cyclehelmets.org/1020.html" TargetMode="External"/><Relationship Id="rId30" Type="http://schemas.openxmlformats.org/officeDocument/2006/relationships/hyperlink" Target="http://www.cyclehelmets.org/1103.html" TargetMode="External"/><Relationship Id="rId35" Type="http://schemas.openxmlformats.org/officeDocument/2006/relationships/hyperlink" Target="https://ecf.com/resources/cycling-facts-and-figures/safety-nu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lsgroveC.ECF\Desktop\Templates%20and%20logo\Templates%202017\Templates%20to%20use\Short%20report%20CW%20ready%20to%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2012-03-25T00:00:00</PublishDate>
  <Abstract>Optional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A91F64-8731-4939-805C-21626EF6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 CW ready to use</Template>
  <TotalTime>0</TotalTime>
  <Pages>13</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TITLE OF THE DOCUMENT IN CAPITAL LETTERS</vt:lpstr>
    </vt:vector>
  </TitlesOfParts>
  <Company>Lightmaker Group Ltd</Company>
  <LinksUpToDate>false</LinksUpToDate>
  <CharactersWithSpaces>30711</CharactersWithSpaces>
  <SharedDoc>false</SharedDoc>
  <HLinks>
    <vt:vector size="18" baseType="variant">
      <vt:variant>
        <vt:i4>7798815</vt:i4>
      </vt:variant>
      <vt:variant>
        <vt:i4>9</vt:i4>
      </vt:variant>
      <vt:variant>
        <vt:i4>0</vt:i4>
      </vt:variant>
      <vt:variant>
        <vt:i4>5</vt:i4>
      </vt:variant>
      <vt:variant>
        <vt:lpwstr>mailto:c.mispelon@ecf.com</vt:lpwstr>
      </vt:variant>
      <vt:variant>
        <vt:lpwstr/>
      </vt:variant>
      <vt:variant>
        <vt:i4>5374000</vt:i4>
      </vt:variant>
      <vt:variant>
        <vt:i4>6</vt:i4>
      </vt:variant>
      <vt:variant>
        <vt:i4>0</vt:i4>
      </vt:variant>
      <vt:variant>
        <vt:i4>5</vt:i4>
      </vt:variant>
      <vt:variant>
        <vt:lpwstr>Z:\COMM_Communications\Communication\corporate design &amp; templates\ECF_corporate design\Futura_Font _Family</vt:lpwstr>
      </vt:variant>
      <vt:variant>
        <vt:lpwstr/>
      </vt:variant>
      <vt:variant>
        <vt:i4>786538</vt:i4>
      </vt:variant>
      <vt:variant>
        <vt:i4>0</vt:i4>
      </vt:variant>
      <vt:variant>
        <vt:i4>0</vt:i4>
      </vt:variant>
      <vt:variant>
        <vt:i4>5</vt:i4>
      </vt:variant>
      <vt:variant>
        <vt:lpwstr>mailto:c.woolsgrove@ecf.com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IN CAPITAL LETTERS</dc:title>
  <dc:subject>Subtitle: ECF position paper on...(the final text shouldn’t include subtitle)</dc:subject>
  <dc:creator>Ceri Woolsgrove</dc:creator>
  <cp:keywords>European Cyclists' Federation</cp:keywords>
  <cp:lastModifiedBy>Ceri Woolsgrove</cp:lastModifiedBy>
  <cp:revision>2</cp:revision>
  <cp:lastPrinted>2017-10-13T12:49:00Z</cp:lastPrinted>
  <dcterms:created xsi:type="dcterms:W3CDTF">2017-10-13T13:57:00Z</dcterms:created>
  <dcterms:modified xsi:type="dcterms:W3CDTF">2017-10-13T13:57:00Z</dcterms:modified>
</cp:coreProperties>
</file>