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Futura Lt BT" w:hAnsi="Futura Lt BT" w:cs="Times New Roman"/>
          <w:b w:val="0"/>
          <w:bCs w:val="0"/>
          <w:color w:val="038E9A"/>
          <w:sz w:val="46"/>
          <w:szCs w:val="46"/>
          <w:lang w:val="en-US"/>
        </w:rPr>
        <w:id w:val="-1939518652"/>
        <w:docPartObj>
          <w:docPartGallery w:val="Cover Pages"/>
          <w:docPartUnique/>
        </w:docPartObj>
      </w:sdtPr>
      <w:sdtEndPr>
        <w:rPr>
          <w:rFonts w:asciiTheme="minorHAnsi" w:hAnsiTheme="minorHAnsi"/>
          <w:color w:val="055068" w:themeColor="text1"/>
          <w:sz w:val="24"/>
          <w:szCs w:val="18"/>
        </w:rPr>
      </w:sdtEndPr>
      <w:sdtContent>
        <w:tbl>
          <w:tblPr>
            <w:tblW w:w="5000" w:type="pct"/>
            <w:jc w:val="center"/>
            <w:tblBorders>
              <w:top w:val="single" w:sz="12" w:space="0" w:color="EFCE0C" w:themeColor="background2"/>
              <w:left w:val="single" w:sz="12" w:space="0" w:color="EFCE0C" w:themeColor="background2"/>
              <w:bottom w:val="single" w:sz="12" w:space="0" w:color="EFCE0C" w:themeColor="background2"/>
              <w:right w:val="single" w:sz="12" w:space="0" w:color="EFCE0C" w:themeColor="background2"/>
              <w:insideH w:val="single" w:sz="12" w:space="0" w:color="EFCE0C" w:themeColor="background2"/>
              <w:insideV w:val="single" w:sz="12" w:space="0" w:color="EFCE0C" w:themeColor="background2"/>
            </w:tblBorders>
            <w:tblLook w:val="04A0" w:firstRow="1" w:lastRow="0" w:firstColumn="1" w:lastColumn="0" w:noHBand="0" w:noVBand="1"/>
          </w:tblPr>
          <w:tblGrid>
            <w:gridCol w:w="9659"/>
          </w:tblGrid>
          <w:tr w:rsidR="00207354" w:rsidRPr="00411842" w14:paraId="550FD417" w14:textId="77777777" w:rsidTr="00265020">
            <w:trPr>
              <w:trHeight w:val="894"/>
              <w:jc w:val="center"/>
            </w:trPr>
            <w:tc>
              <w:tcPr>
                <w:tcW w:w="5000" w:type="pct"/>
                <w:tcBorders>
                  <w:bottom w:val="single" w:sz="12" w:space="0" w:color="EFCE0C" w:themeColor="background2"/>
                </w:tcBorders>
                <w:vAlign w:val="center"/>
              </w:tcPr>
              <w:sdt>
                <w:sdtPr>
                  <w:rPr>
                    <w:rStyle w:val="Titre3Car"/>
                    <w:rFonts w:ascii="FuturaBold Ro" w:hAnsi="FuturaBold Ro"/>
                    <w:b/>
                    <w:bCs/>
                    <w:color w:val="0092AA" w:themeColor="accent1"/>
                    <w:spacing w:val="-22"/>
                    <w:sz w:val="36"/>
                    <w:szCs w:val="32"/>
                  </w:rPr>
                  <w:alias w:val="Title"/>
                  <w:tag w:val=""/>
                  <w:id w:val="-1001586823"/>
                  <w:dataBinding w:prefixMappings="xmlns:ns0='http://purl.org/dc/elements/1.1/' xmlns:ns1='http://schemas.openxmlformats.org/package/2006/metadata/core-properties' " w:xpath="/ns1:coreProperties[1]/ns0:title[1]" w:storeItemID="{6C3C8BC8-F283-45AE-878A-BAB7291924A1}"/>
                  <w:text/>
                </w:sdtPr>
                <w:sdtEndPr>
                  <w:rPr>
                    <w:rStyle w:val="Titre3Car"/>
                  </w:rPr>
                </w:sdtEndPr>
                <w:sdtContent>
                  <w:p w14:paraId="246F189C" w14:textId="59172D6D" w:rsidR="006C2E44" w:rsidRPr="00411842" w:rsidRDefault="00502418" w:rsidP="00FF7F7D">
                    <w:pPr>
                      <w:pStyle w:val="Titre1"/>
                      <w:numPr>
                        <w:ilvl w:val="0"/>
                        <w:numId w:val="0"/>
                      </w:numPr>
                      <w:spacing w:before="0"/>
                      <w:rPr>
                        <w:rFonts w:ascii="Futura Lt BT" w:hAnsi="Futura Lt BT"/>
                        <w:color w:val="auto"/>
                        <w:sz w:val="22"/>
                        <w:szCs w:val="22"/>
                      </w:rPr>
                    </w:pPr>
                    <w:r w:rsidRPr="00411842">
                      <w:rPr>
                        <w:rStyle w:val="Titre3Car"/>
                        <w:rFonts w:ascii="FuturaBold Ro" w:hAnsi="FuturaBold Ro"/>
                        <w:b/>
                        <w:bCs/>
                        <w:color w:val="0092AA" w:themeColor="accent1"/>
                        <w:spacing w:val="-22"/>
                        <w:sz w:val="36"/>
                        <w:szCs w:val="32"/>
                      </w:rPr>
                      <w:t xml:space="preserve">ECF Road Safety </w:t>
                    </w:r>
                    <w:r w:rsidR="007132DD">
                      <w:rPr>
                        <w:rStyle w:val="Titre3Car"/>
                        <w:rFonts w:ascii="FuturaBold Ro" w:hAnsi="FuturaBold Ro"/>
                        <w:b/>
                        <w:bCs/>
                        <w:color w:val="0092AA" w:themeColor="accent1"/>
                        <w:spacing w:val="-22"/>
                        <w:sz w:val="36"/>
                        <w:szCs w:val="32"/>
                      </w:rPr>
                      <w:t>R</w:t>
                    </w:r>
                    <w:r w:rsidRPr="00411842">
                      <w:rPr>
                        <w:rStyle w:val="Titre3Car"/>
                        <w:rFonts w:ascii="FuturaBold Ro" w:hAnsi="FuturaBold Ro"/>
                        <w:b/>
                        <w:bCs/>
                        <w:color w:val="0092AA" w:themeColor="accent1"/>
                        <w:spacing w:val="-22"/>
                        <w:sz w:val="36"/>
                        <w:szCs w:val="32"/>
                      </w:rPr>
                      <w:t>ecommendations for European Parliament Own Initiative Report</w:t>
                    </w:r>
                  </w:p>
                </w:sdtContent>
              </w:sdt>
            </w:tc>
          </w:tr>
          <w:tr w:rsidR="00207354" w:rsidRPr="00411842" w14:paraId="0075BD20" w14:textId="77777777" w:rsidTr="0093210A">
            <w:trPr>
              <w:trHeight w:val="360"/>
              <w:jc w:val="center"/>
            </w:trPr>
            <w:tc>
              <w:tcPr>
                <w:tcW w:w="5000" w:type="pct"/>
                <w:tcBorders>
                  <w:bottom w:val="nil"/>
                </w:tcBorders>
                <w:vAlign w:val="center"/>
              </w:tcPr>
              <w:p w14:paraId="5B4851C4" w14:textId="77777777" w:rsidR="00207354" w:rsidRPr="00411842" w:rsidRDefault="00520268" w:rsidP="00520268">
                <w:pPr>
                  <w:pStyle w:val="Sansinterligne"/>
                  <w:rPr>
                    <w:rFonts w:ascii="Futura Lt BT" w:hAnsi="Futura Lt BT"/>
                    <w:lang w:val="en-GB"/>
                  </w:rPr>
                </w:pPr>
                <w:r w:rsidRPr="00411842">
                  <w:rPr>
                    <w:rFonts w:ascii="Futura Lt BT" w:hAnsi="Futura Lt BT"/>
                    <w:lang w:val="en-GB"/>
                  </w:rPr>
                  <w:t>European Cyclists’ Federation</w:t>
                </w:r>
              </w:p>
            </w:tc>
          </w:tr>
          <w:tr w:rsidR="00207354" w:rsidRPr="00411842" w14:paraId="53B670D6" w14:textId="77777777" w:rsidTr="0093210A">
            <w:trPr>
              <w:trHeight w:val="360"/>
              <w:jc w:val="center"/>
            </w:trPr>
            <w:tc>
              <w:tcPr>
                <w:tcW w:w="5000" w:type="pct"/>
                <w:tcBorders>
                  <w:top w:val="nil"/>
                  <w:bottom w:val="nil"/>
                </w:tcBorders>
                <w:vAlign w:val="center"/>
              </w:tcPr>
              <w:p w14:paraId="3FE51DD6" w14:textId="78FE15BE" w:rsidR="00207354" w:rsidRPr="00411842" w:rsidRDefault="00B00273" w:rsidP="00FF7F7D">
                <w:pPr>
                  <w:pStyle w:val="Sansinterligne"/>
                  <w:rPr>
                    <w:rFonts w:asciiTheme="minorHAnsi" w:hAnsiTheme="minorHAnsi"/>
                    <w:b/>
                    <w:bCs/>
                    <w:color w:val="85172C" w:themeColor="accent5" w:themeShade="BF"/>
                    <w:lang w:val="en-GB"/>
                  </w:rPr>
                </w:pPr>
                <w:hyperlink r:id="rId9" w:history="1">
                  <w:r w:rsidR="003B48A3" w:rsidRPr="00411842">
                    <w:rPr>
                      <w:rStyle w:val="Lienhypertexte"/>
                      <w:rFonts w:ascii="Calibri" w:hAnsi="Calibri"/>
                      <w:sz w:val="22"/>
                      <w:szCs w:val="22"/>
                    </w:rPr>
                    <w:t>c.woolsgrove@ecf.com</w:t>
                  </w:r>
                </w:hyperlink>
                <w:r w:rsidR="003B48A3" w:rsidRPr="00411842">
                  <w:rPr>
                    <w:lang w:val="en-GB"/>
                  </w:rPr>
                  <w:t xml:space="preserve"> Ceri Woolsgrove Policy Officer</w:t>
                </w:r>
              </w:p>
            </w:tc>
          </w:tr>
          <w:tr w:rsidR="00207354" w:rsidRPr="00411842" w14:paraId="204A348B" w14:textId="77777777" w:rsidTr="007132DD">
            <w:trPr>
              <w:trHeight w:val="241"/>
              <w:jc w:val="center"/>
            </w:trPr>
            <w:tc>
              <w:tcPr>
                <w:tcW w:w="5000" w:type="pct"/>
                <w:tcBorders>
                  <w:top w:val="nil"/>
                </w:tcBorders>
                <w:vAlign w:val="center"/>
              </w:tcPr>
              <w:p w14:paraId="19139BBC" w14:textId="37611DDF" w:rsidR="00207354" w:rsidRPr="00411842" w:rsidRDefault="00061F99" w:rsidP="00B905AA">
                <w:pPr>
                  <w:rPr>
                    <w:rFonts w:ascii="Futura Lt BT" w:hAnsi="Futura Lt BT"/>
                    <w:color w:val="808080" w:themeColor="background1" w:themeShade="80"/>
                    <w:spacing w:val="2"/>
                    <w:position w:val="1"/>
                    <w:sz w:val="16"/>
                    <w:szCs w:val="20"/>
                  </w:rPr>
                </w:pPr>
                <w:r>
                  <w:rPr>
                    <w:rFonts w:ascii="Futura Lt BT" w:hAnsi="Futura Lt BT"/>
                    <w:color w:val="808080" w:themeColor="background1" w:themeShade="80"/>
                    <w:spacing w:val="2"/>
                    <w:position w:val="1"/>
                    <w:sz w:val="16"/>
                    <w:szCs w:val="20"/>
                  </w:rPr>
                  <w:t>23</w:t>
                </w:r>
                <w:r w:rsidR="00782E7D" w:rsidRPr="00411842">
                  <w:rPr>
                    <w:rFonts w:ascii="Futura Lt BT" w:hAnsi="Futura Lt BT"/>
                    <w:color w:val="808080" w:themeColor="background1" w:themeShade="80"/>
                    <w:spacing w:val="2"/>
                    <w:position w:val="1"/>
                    <w:sz w:val="16"/>
                    <w:szCs w:val="20"/>
                  </w:rPr>
                  <w:t>/03</w:t>
                </w:r>
                <w:r w:rsidR="003B48A3" w:rsidRPr="00411842">
                  <w:rPr>
                    <w:rFonts w:ascii="Futura Lt BT" w:hAnsi="Futura Lt BT"/>
                    <w:color w:val="808080" w:themeColor="background1" w:themeShade="80"/>
                    <w:spacing w:val="2"/>
                    <w:position w:val="1"/>
                    <w:sz w:val="16"/>
                    <w:szCs w:val="20"/>
                  </w:rPr>
                  <w:t>/2021</w:t>
                </w:r>
              </w:p>
            </w:tc>
          </w:tr>
          <w:tr w:rsidR="00F36BF2" w:rsidRPr="00411842" w14:paraId="3F50F515" w14:textId="77777777" w:rsidTr="001C59D4">
            <w:trPr>
              <w:trHeight w:val="1014"/>
              <w:jc w:val="center"/>
            </w:trPr>
            <w:tc>
              <w:tcPr>
                <w:tcW w:w="5000" w:type="pct"/>
                <w:vAlign w:val="center"/>
              </w:tcPr>
              <w:p w14:paraId="63834DEA" w14:textId="0C13A4A5" w:rsidR="00026BF3" w:rsidRPr="00411842" w:rsidRDefault="001C59D4" w:rsidP="001B6E24">
                <w:pPr>
                  <w:pStyle w:val="Endnotes"/>
                  <w:ind w:left="0"/>
                </w:pPr>
                <w:r w:rsidRPr="00411842">
                  <w:rPr>
                    <w:noProof/>
                  </w:rPr>
                  <w:drawing>
                    <wp:anchor distT="0" distB="0" distL="114300" distR="114300" simplePos="0" relativeHeight="251658240" behindDoc="0" locked="0" layoutInCell="1" allowOverlap="1" wp14:anchorId="32643D04" wp14:editId="614FC3AD">
                      <wp:simplePos x="0" y="0"/>
                      <wp:positionH relativeFrom="column">
                        <wp:posOffset>-457835</wp:posOffset>
                      </wp:positionH>
                      <wp:positionV relativeFrom="paragraph">
                        <wp:posOffset>-635</wp:posOffset>
                      </wp:positionV>
                      <wp:extent cx="457200" cy="3276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457200" cy="327660"/>
                              </a:xfrm>
                              <a:prstGeom prst="rect">
                                <a:avLst/>
                              </a:prstGeom>
                            </pic:spPr>
                          </pic:pic>
                        </a:graphicData>
                      </a:graphic>
                      <wp14:sizeRelH relativeFrom="margin">
                        <wp14:pctWidth>0</wp14:pctWidth>
                      </wp14:sizeRelH>
                      <wp14:sizeRelV relativeFrom="margin">
                        <wp14:pctHeight>0</wp14:pctHeight>
                      </wp14:sizeRelV>
                    </wp:anchor>
                  </w:drawing>
                </w:r>
                <w:r w:rsidRPr="00411842">
                  <w:rPr>
                    <w:noProof/>
                  </w:rPr>
                  <w:drawing>
                    <wp:anchor distT="0" distB="0" distL="114300" distR="114300" simplePos="0" relativeHeight="251659264" behindDoc="0" locked="0" layoutInCell="1" allowOverlap="1" wp14:anchorId="553103B1" wp14:editId="06168A11">
                      <wp:simplePos x="0" y="0"/>
                      <wp:positionH relativeFrom="column">
                        <wp:posOffset>-621030</wp:posOffset>
                      </wp:positionH>
                      <wp:positionV relativeFrom="paragraph">
                        <wp:posOffset>354965</wp:posOffset>
                      </wp:positionV>
                      <wp:extent cx="561975" cy="219075"/>
                      <wp:effectExtent l="0" t="0" r="0" b="9525"/>
                      <wp:wrapSquare wrapText="bothSides"/>
                      <wp:docPr id="5" name="Picture 5"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975" cy="219075"/>
                              </a:xfrm>
                              <a:prstGeom prst="rect">
                                <a:avLst/>
                              </a:prstGeom>
                            </pic:spPr>
                          </pic:pic>
                        </a:graphicData>
                      </a:graphic>
                      <wp14:sizeRelH relativeFrom="margin">
                        <wp14:pctWidth>0</wp14:pctWidth>
                      </wp14:sizeRelH>
                      <wp14:sizeRelV relativeFrom="margin">
                        <wp14:pctHeight>0</wp14:pctHeight>
                      </wp14:sizeRelV>
                    </wp:anchor>
                  </w:drawing>
                </w:r>
                <w:r w:rsidR="00026BF3" w:rsidRPr="00411842">
                  <w:rPr>
                    <w:noProof/>
                  </w:rPr>
                  <w:t xml:space="preserve">  </w:t>
                </w:r>
                <w:r w:rsidR="005909B2" w:rsidRPr="00411842">
                  <w:rPr>
                    <w:noProof/>
                  </w:rPr>
                  <w:t xml:space="preserve">ECF </w:t>
                </w:r>
                <w:r w:rsidR="00F441F6" w:rsidRPr="00411842">
                  <w:rPr>
                    <w:noProof/>
                  </w:rPr>
                  <w:t xml:space="preserve">gratefully acknowledges financial support from the LIFE Programme of the European Union and the cycling industry </w:t>
                </w:r>
                <w:r w:rsidR="00026BF3" w:rsidRPr="00411842">
                  <w:rPr>
                    <w:noProof/>
                  </w:rPr>
                  <w:t xml:space="preserve">              </w:t>
                </w:r>
                <w:r w:rsidR="00F441F6" w:rsidRPr="00411842">
                  <w:rPr>
                    <w:noProof/>
                  </w:rPr>
                  <w:t xml:space="preserve"> </w:t>
                </w:r>
                <w:r w:rsidR="00026BF3" w:rsidRPr="00411842">
                  <w:rPr>
                    <w:noProof/>
                  </w:rPr>
                  <w:t xml:space="preserve">      via </w:t>
                </w:r>
                <w:r w:rsidR="00F441F6" w:rsidRPr="00411842">
                  <w:rPr>
                    <w:noProof/>
                  </w:rPr>
                  <w:t xml:space="preserve">Cycling Industries Europe. The information and views set out in this document are those of the author(s) and do not necessarily reflect the official opinion of the European Union. Neither the European Union institutions and bodies nor any person acting on their behalf may be held responsible for the use which may be made of the information contained </w:t>
                </w:r>
                <w:r w:rsidR="00F36BF2" w:rsidRPr="00411842">
                  <w:t>therein.</w:t>
                </w:r>
              </w:p>
            </w:tc>
          </w:tr>
        </w:tbl>
        <w:p w14:paraId="42657451" w14:textId="77777777" w:rsidR="00501B7D" w:rsidRDefault="00501B7D" w:rsidP="00382588">
          <w:pPr>
            <w:pStyle w:val="ECF-Heading2"/>
            <w:rPr>
              <w:rStyle w:val="ECF-Heading1Char"/>
              <w:bCs/>
              <w:color w:val="EFCE0C" w:themeColor="background2"/>
            </w:rPr>
          </w:pPr>
        </w:p>
        <w:p w14:paraId="36B6C007" w14:textId="3BB8FA41" w:rsidR="00F71628" w:rsidRDefault="00845A99" w:rsidP="00382588">
          <w:pPr>
            <w:pStyle w:val="ECF-Heading2"/>
            <w:rPr>
              <w:rStyle w:val="ECF-Heading1Char"/>
              <w:bCs/>
              <w:color w:val="EFCE0C" w:themeColor="background2"/>
            </w:rPr>
          </w:pPr>
          <w:r w:rsidRPr="00411842">
            <w:rPr>
              <w:rStyle w:val="ECF-Heading1Char"/>
              <w:bCs/>
              <w:color w:val="EFCE0C" w:themeColor="background2"/>
            </w:rPr>
            <w:t>Key</w:t>
          </w:r>
          <w:r w:rsidR="00F71628" w:rsidRPr="00411842">
            <w:rPr>
              <w:rStyle w:val="ECF-Heading1Char"/>
              <w:bCs/>
              <w:color w:val="EFCE0C" w:themeColor="background2"/>
            </w:rPr>
            <w:t xml:space="preserve"> Recommendations</w:t>
          </w:r>
        </w:p>
        <w:p w14:paraId="3A9652C9" w14:textId="4363B9DF" w:rsidR="00D8551F" w:rsidRPr="0050059E" w:rsidRDefault="00D8551F" w:rsidP="0050059E">
          <w:pPr>
            <w:spacing w:after="160" w:line="259" w:lineRule="auto"/>
            <w:rPr>
              <w:rStyle w:val="ECF-heading3Char"/>
            </w:rPr>
          </w:pPr>
          <w:r w:rsidRPr="0050059E">
            <w:rPr>
              <w:rStyle w:val="ECF-heading3Char"/>
            </w:rPr>
            <w:t xml:space="preserve">Main </w:t>
          </w:r>
          <w:r w:rsidR="0050059E" w:rsidRPr="0050059E">
            <w:rPr>
              <w:rStyle w:val="ECF-heading3Char"/>
            </w:rPr>
            <w:t>principles</w:t>
          </w:r>
        </w:p>
        <w:p w14:paraId="4BE7A472" w14:textId="0B68319E" w:rsidR="004A3210" w:rsidRPr="004A3210" w:rsidRDefault="004A3210" w:rsidP="004A3210">
          <w:pPr>
            <w:pStyle w:val="Paragraphtext"/>
            <w:numPr>
              <w:ilvl w:val="0"/>
              <w:numId w:val="8"/>
            </w:numPr>
            <w:rPr>
              <w:bCs/>
            </w:rPr>
          </w:pPr>
          <w:r w:rsidRPr="004A3210">
            <w:rPr>
              <w:bCs/>
            </w:rPr>
            <w:t xml:space="preserve">EU </w:t>
          </w:r>
          <w:r w:rsidRPr="00FC37AA">
            <w:rPr>
              <w:bCs/>
            </w:rPr>
            <w:t>citizens</w:t>
          </w:r>
          <w:r w:rsidRPr="004A3210">
            <w:rPr>
              <w:bCs/>
            </w:rPr>
            <w:t xml:space="preserve"> should have the right to active mobility. The public space is space for all, we need a better balance between modes of transport, including more space for Active Mobility</w:t>
          </w:r>
          <w:r w:rsidR="00AD2F59">
            <w:rPr>
              <w:bCs/>
            </w:rPr>
            <w:t xml:space="preserve"> like cycling and walking</w:t>
          </w:r>
          <w:r w:rsidRPr="004A3210">
            <w:rPr>
              <w:bCs/>
            </w:rPr>
            <w:t>. There should be a right to cycle and walk for all people, and there should be a right for Active Mobility in public space.</w:t>
          </w:r>
          <w:r w:rsidR="006B24AD">
            <w:rPr>
              <w:bCs/>
            </w:rPr>
            <w:t xml:space="preserve"> T</w:t>
          </w:r>
          <w:r w:rsidRPr="004A3210">
            <w:rPr>
              <w:bCs/>
            </w:rPr>
            <w:t>his human perspective</w:t>
          </w:r>
          <w:r w:rsidR="006B24AD">
            <w:rPr>
              <w:bCs/>
            </w:rPr>
            <w:t xml:space="preserve"> should </w:t>
          </w:r>
          <w:r w:rsidR="009E4CFD">
            <w:rPr>
              <w:bCs/>
            </w:rPr>
            <w:t xml:space="preserve">be a main principle of all transport planning and investments. </w:t>
          </w:r>
        </w:p>
        <w:p w14:paraId="269186A4" w14:textId="0F9E6CF8" w:rsidR="004A3210" w:rsidRPr="004A3210" w:rsidRDefault="004A3210" w:rsidP="004A3210">
          <w:pPr>
            <w:pStyle w:val="Paragraphtext"/>
            <w:numPr>
              <w:ilvl w:val="0"/>
              <w:numId w:val="8"/>
            </w:numPr>
            <w:rPr>
              <w:bCs/>
            </w:rPr>
          </w:pPr>
          <w:r w:rsidRPr="004A3210">
            <w:rPr>
              <w:bCs/>
            </w:rPr>
            <w:t>Every EU citizen should have access to a safe cycle route network (safe route to school, work, culture); we can choose to not cycle, but we should not be prevented from cycling by unsafe roads</w:t>
          </w:r>
          <w:r w:rsidR="009E4CFD">
            <w:rPr>
              <w:bCs/>
            </w:rPr>
            <w:t>.</w:t>
          </w:r>
        </w:p>
        <w:p w14:paraId="48287567" w14:textId="410E08F0" w:rsidR="00AB77B3" w:rsidRPr="00AB77B3" w:rsidRDefault="00AB77B3" w:rsidP="00AB77B3">
          <w:pPr>
            <w:spacing w:after="160" w:line="259" w:lineRule="auto"/>
            <w:rPr>
              <w:rFonts w:ascii="Calibri" w:eastAsia="Calibri" w:hAnsi="Calibri"/>
              <w:color w:val="auto"/>
              <w:sz w:val="22"/>
              <w:szCs w:val="22"/>
            </w:rPr>
          </w:pPr>
          <w:r w:rsidRPr="00AB77B3">
            <w:rPr>
              <w:rStyle w:val="ECF-heading3Char"/>
            </w:rPr>
            <w:t>Vehicles</w:t>
          </w:r>
        </w:p>
        <w:p w14:paraId="532CD618" w14:textId="77777777" w:rsidR="00AB77B3" w:rsidRPr="00AB77B3" w:rsidRDefault="00AB77B3" w:rsidP="00AB77B3">
          <w:pPr>
            <w:pStyle w:val="Paragraphtext"/>
            <w:numPr>
              <w:ilvl w:val="0"/>
              <w:numId w:val="8"/>
            </w:numPr>
            <w:rPr>
              <w:lang w:val="en-GB"/>
            </w:rPr>
          </w:pPr>
          <w:r w:rsidRPr="00AB77B3">
            <w:rPr>
              <w:lang w:val="en-GB"/>
            </w:rPr>
            <w:t>Intelligent Speed Assistance systems in EU vehicles should be a major policy tool of the EU to control speeding both in the short and long term.</w:t>
          </w:r>
        </w:p>
        <w:p w14:paraId="7A1E4336" w14:textId="77777777" w:rsidR="00AB77B3" w:rsidRPr="00AB77B3" w:rsidRDefault="00AB77B3" w:rsidP="00AB77B3">
          <w:pPr>
            <w:pStyle w:val="Paragraphtext"/>
            <w:numPr>
              <w:ilvl w:val="0"/>
              <w:numId w:val="8"/>
            </w:numPr>
            <w:rPr>
              <w:lang w:val="en-GB"/>
            </w:rPr>
          </w:pPr>
          <w:r w:rsidRPr="00AB77B3">
            <w:rPr>
              <w:lang w:val="en-GB"/>
            </w:rPr>
            <w:t>Make sure the Commission secondary legislation on ISA is as effective as possible.</w:t>
          </w:r>
        </w:p>
        <w:p w14:paraId="76056F6A" w14:textId="77777777" w:rsidR="00AB77B3" w:rsidRPr="00AB77B3" w:rsidRDefault="00AB77B3" w:rsidP="00AB77B3">
          <w:pPr>
            <w:pStyle w:val="Paragraphtext"/>
            <w:numPr>
              <w:ilvl w:val="0"/>
              <w:numId w:val="8"/>
            </w:numPr>
            <w:rPr>
              <w:lang w:val="en-GB"/>
            </w:rPr>
          </w:pPr>
          <w:r w:rsidRPr="00AB77B3">
            <w:rPr>
              <w:lang w:val="en-GB"/>
            </w:rPr>
            <w:t xml:space="preserve">Parliament, as reviewing body, and Council Member States as contracting parties of UNECE to make sure blind spots are reduced “to the greatest possible extent” in UNECE regulations on truck Direct Vision. </w:t>
          </w:r>
        </w:p>
        <w:p w14:paraId="49903F00" w14:textId="77777777" w:rsidR="00AB77B3" w:rsidRPr="00AB77B3" w:rsidRDefault="00AB77B3" w:rsidP="00AB77B3">
          <w:pPr>
            <w:pStyle w:val="Paragraphtext"/>
            <w:numPr>
              <w:ilvl w:val="0"/>
              <w:numId w:val="8"/>
            </w:numPr>
            <w:rPr>
              <w:lang w:val="en-GB"/>
            </w:rPr>
          </w:pPr>
          <w:r w:rsidRPr="00AB77B3">
            <w:rPr>
              <w:lang w:val="en-GB"/>
            </w:rPr>
            <w:t>Ensure that a review of the General Safety Regulations is underway in 2025 (as foreseen in the regulation) and reflects the current advancement of safety technologies and measures.</w:t>
          </w:r>
        </w:p>
        <w:p w14:paraId="3DCDC8D4" w14:textId="371EEDDF" w:rsidR="00AB77B3" w:rsidRPr="00AB77B3" w:rsidRDefault="00AB77B3" w:rsidP="00AB77B3">
          <w:pPr>
            <w:pStyle w:val="Paragraphtext"/>
            <w:numPr>
              <w:ilvl w:val="0"/>
              <w:numId w:val="8"/>
            </w:numPr>
            <w:rPr>
              <w:lang w:val="en-GB"/>
            </w:rPr>
          </w:pPr>
          <w:r w:rsidRPr="00AB77B3">
            <w:rPr>
              <w:lang w:val="en-GB"/>
            </w:rPr>
            <w:t>Make sure that EPACs and Cargo Bikes are not overregulated with regards to review changes to the 2- and 3-wheel vehicle Type Approval</w:t>
          </w:r>
          <w:r w:rsidR="0065532D">
            <w:rPr>
              <w:lang w:val="en-GB"/>
            </w:rPr>
            <w:t>.</w:t>
          </w:r>
        </w:p>
        <w:p w14:paraId="1A9E4116" w14:textId="77777777" w:rsidR="00AB77B3" w:rsidRPr="00AB77B3" w:rsidRDefault="00AB77B3" w:rsidP="00AB77B3">
          <w:pPr>
            <w:pStyle w:val="ECF-heading3"/>
            <w:rPr>
              <w:rFonts w:eastAsia="Calibri"/>
            </w:rPr>
          </w:pPr>
          <w:r w:rsidRPr="00AB77B3">
            <w:rPr>
              <w:rFonts w:eastAsia="Calibri"/>
            </w:rPr>
            <w:t xml:space="preserve">Infrastructure </w:t>
          </w:r>
        </w:p>
        <w:p w14:paraId="39DCE95D" w14:textId="5279B2E2" w:rsidR="00265020" w:rsidRDefault="00265020" w:rsidP="00AB77B3">
          <w:pPr>
            <w:pStyle w:val="Paragraphtext"/>
            <w:numPr>
              <w:ilvl w:val="0"/>
              <w:numId w:val="8"/>
            </w:numPr>
            <w:rPr>
              <w:lang w:val="en-GB"/>
            </w:rPr>
          </w:pPr>
          <w:r>
            <w:rPr>
              <w:lang w:val="en-GB"/>
            </w:rPr>
            <w:t>Complete q</w:t>
          </w:r>
          <w:r w:rsidRPr="006A5175">
            <w:rPr>
              <w:lang w:val="en-GB"/>
            </w:rPr>
            <w:t>uality requirements for cycling infrastructure (on primary road network) in the frame of R</w:t>
          </w:r>
          <w:r>
            <w:rPr>
              <w:lang w:val="en-GB"/>
            </w:rPr>
            <w:t>oad Infrastructure Safety Management R</w:t>
          </w:r>
          <w:r w:rsidRPr="006A5175">
            <w:rPr>
              <w:lang w:val="en-GB"/>
            </w:rPr>
            <w:t xml:space="preserve">ISM2 directive (2021-2023). </w:t>
          </w:r>
          <w:r w:rsidR="0026406B">
            <w:rPr>
              <w:lang w:val="en-GB"/>
            </w:rPr>
            <w:t>C</w:t>
          </w:r>
          <w:r w:rsidRPr="006A5175">
            <w:rPr>
              <w:lang w:val="en-GB"/>
            </w:rPr>
            <w:t xml:space="preserve">omplemented by similar </w:t>
          </w:r>
          <w:r w:rsidRPr="006A5175">
            <w:rPr>
              <w:lang w:val="en-GB"/>
            </w:rPr>
            <w:lastRenderedPageBreak/>
            <w:t>document for urban roads, so together we have comprehensive EU-level quality requirements for cycling infrastructure</w:t>
          </w:r>
          <w:r w:rsidR="00FF7705">
            <w:rPr>
              <w:lang w:val="en-GB"/>
            </w:rPr>
            <w:t>.</w:t>
          </w:r>
        </w:p>
        <w:p w14:paraId="4433BB30" w14:textId="3829E257" w:rsidR="00AB77B3" w:rsidRPr="00AB77B3" w:rsidRDefault="00AB77B3" w:rsidP="00AB77B3">
          <w:pPr>
            <w:pStyle w:val="Paragraphtext"/>
            <w:numPr>
              <w:ilvl w:val="0"/>
              <w:numId w:val="8"/>
            </w:numPr>
            <w:rPr>
              <w:lang w:val="en-GB"/>
            </w:rPr>
          </w:pPr>
          <w:r w:rsidRPr="00AB77B3">
            <w:rPr>
              <w:lang w:val="en-GB"/>
            </w:rPr>
            <w:t>Integrate cycling in the Road Infrastructure Safety Management RISM network-wide road safety assessment.</w:t>
          </w:r>
        </w:p>
        <w:p w14:paraId="0FA1043F" w14:textId="465B5CA1" w:rsidR="00AB77B3" w:rsidRPr="00AB77B3" w:rsidRDefault="00AB77B3" w:rsidP="00AB77B3">
          <w:pPr>
            <w:pStyle w:val="Paragraphtext"/>
            <w:numPr>
              <w:ilvl w:val="0"/>
              <w:numId w:val="8"/>
            </w:numPr>
            <w:rPr>
              <w:lang w:val="en-GB"/>
            </w:rPr>
          </w:pPr>
          <w:r w:rsidRPr="00AB77B3">
            <w:rPr>
              <w:lang w:val="en-GB"/>
            </w:rPr>
            <w:t>Integrate cycling and EuroVelo in the revision of the TEN-T guidelines</w:t>
          </w:r>
          <w:r w:rsidR="0065532D">
            <w:rPr>
              <w:lang w:val="en-GB"/>
            </w:rPr>
            <w:t>.</w:t>
          </w:r>
        </w:p>
        <w:p w14:paraId="5C8D7D14" w14:textId="389850AA" w:rsidR="00AB77B3" w:rsidRPr="00AE14CF" w:rsidRDefault="00AB77B3" w:rsidP="00AE14CF">
          <w:pPr>
            <w:pStyle w:val="Paragraphtext"/>
            <w:numPr>
              <w:ilvl w:val="0"/>
              <w:numId w:val="8"/>
            </w:numPr>
            <w:rPr>
              <w:lang w:val="en-GB"/>
            </w:rPr>
          </w:pPr>
          <w:r w:rsidRPr="00AB77B3">
            <w:rPr>
              <w:lang w:val="en-GB"/>
            </w:rPr>
            <w:t>Funding for local and regional cycle networks, especially in the less developed regions of the EU</w:t>
          </w:r>
          <w:r w:rsidR="0065532D">
            <w:rPr>
              <w:lang w:val="en-GB"/>
            </w:rPr>
            <w:t>.</w:t>
          </w:r>
        </w:p>
        <w:p w14:paraId="3B0441F5" w14:textId="77777777" w:rsidR="00AB77B3" w:rsidRPr="00AB77B3" w:rsidRDefault="00AB77B3" w:rsidP="00AB77B3">
          <w:pPr>
            <w:pStyle w:val="ECF-heading3"/>
            <w:rPr>
              <w:rFonts w:eastAsia="Calibri"/>
            </w:rPr>
          </w:pPr>
          <w:r w:rsidRPr="00AB77B3">
            <w:rPr>
              <w:rFonts w:eastAsia="Calibri"/>
            </w:rPr>
            <w:t>People, behaviour, and Society</w:t>
          </w:r>
        </w:p>
        <w:p w14:paraId="2D6317BE" w14:textId="296D5458" w:rsidR="00AB77B3" w:rsidRPr="00AB77B3" w:rsidRDefault="00AB77B3" w:rsidP="00AB77B3">
          <w:pPr>
            <w:pStyle w:val="Paragraphtext"/>
            <w:numPr>
              <w:ilvl w:val="0"/>
              <w:numId w:val="8"/>
            </w:numPr>
            <w:rPr>
              <w:lang w:val="en-GB"/>
            </w:rPr>
          </w:pPr>
          <w:r w:rsidRPr="00AB77B3">
            <w:rPr>
              <w:lang w:val="en-GB"/>
            </w:rPr>
            <w:t>The lowering of the age limit should not be allowed for any vehicles including smaller M1 cars.</w:t>
          </w:r>
        </w:p>
        <w:p w14:paraId="4D928F4B" w14:textId="77777777" w:rsidR="00AB77B3" w:rsidRPr="00AB77B3" w:rsidRDefault="00AB77B3" w:rsidP="00AB77B3">
          <w:pPr>
            <w:pStyle w:val="Paragraphtext"/>
            <w:numPr>
              <w:ilvl w:val="0"/>
              <w:numId w:val="8"/>
            </w:numPr>
            <w:rPr>
              <w:lang w:val="en-GB"/>
            </w:rPr>
          </w:pPr>
          <w:r w:rsidRPr="00AB77B3">
            <w:rPr>
              <w:lang w:val="en-GB"/>
            </w:rPr>
            <w:t>A graduated driving licence that requires young or novice drivers to have more experience before being allowed to operate more powerful vehicles and Advanced Driving Systems should also be part of the testing and training procedures.</w:t>
          </w:r>
        </w:p>
        <w:p w14:paraId="51057501" w14:textId="07AAF7B1" w:rsidR="00AB77B3" w:rsidRPr="00AB77B3" w:rsidRDefault="003E7A4B" w:rsidP="00102C37">
          <w:pPr>
            <w:pStyle w:val="Paragraphtext"/>
            <w:numPr>
              <w:ilvl w:val="0"/>
              <w:numId w:val="8"/>
            </w:numPr>
            <w:rPr>
              <w:lang w:val="en-GB"/>
            </w:rPr>
          </w:pPr>
          <w:r w:rsidRPr="00AB77B3">
            <w:rPr>
              <w:lang w:val="en-GB"/>
            </w:rPr>
            <w:t xml:space="preserve">Encourage and recommend EU Member States to adopt as default maximum 30km/h in cities where people walk, cycle, work, and play </w:t>
          </w:r>
          <w:r w:rsidR="00A21618">
            <w:rPr>
              <w:lang w:val="en-GB"/>
            </w:rPr>
            <w:t xml:space="preserve">and </w:t>
          </w:r>
          <w:r w:rsidR="00AB77B3" w:rsidRPr="00AB77B3">
            <w:rPr>
              <w:lang w:val="en-GB"/>
            </w:rPr>
            <w:t>to improve speed limit signs to be working with vehicle speed assistance systems</w:t>
          </w:r>
          <w:r w:rsidR="00A21618">
            <w:rPr>
              <w:lang w:val="en-GB"/>
            </w:rPr>
            <w:t>.</w:t>
          </w:r>
        </w:p>
        <w:p w14:paraId="7341FD25" w14:textId="617DE02B" w:rsidR="00A21618" w:rsidRPr="00955F0A" w:rsidRDefault="00A21618" w:rsidP="00A21618">
          <w:pPr>
            <w:pStyle w:val="Paragraphtext"/>
            <w:numPr>
              <w:ilvl w:val="0"/>
              <w:numId w:val="8"/>
            </w:numPr>
            <w:rPr>
              <w:lang w:val="en-GB"/>
            </w:rPr>
          </w:pPr>
          <w:r w:rsidRPr="00AB77B3">
            <w:rPr>
              <w:lang w:val="en-GB"/>
            </w:rPr>
            <w:t>Speed</w:t>
          </w:r>
          <w:r>
            <w:rPr>
              <w:lang w:val="en-GB"/>
            </w:rPr>
            <w:t xml:space="preserve"> management should be a</w:t>
          </w:r>
          <w:r w:rsidRPr="00AB77B3">
            <w:rPr>
              <w:lang w:val="en-GB"/>
            </w:rPr>
            <w:t>t the centre of national road plans and strategies.</w:t>
          </w:r>
        </w:p>
        <w:p w14:paraId="59667630" w14:textId="721E36C4" w:rsidR="00AB77B3" w:rsidRPr="00AB77B3" w:rsidRDefault="00AB77B3" w:rsidP="00AB77B3">
          <w:pPr>
            <w:pStyle w:val="Paragraphtext"/>
            <w:numPr>
              <w:ilvl w:val="0"/>
              <w:numId w:val="8"/>
            </w:numPr>
            <w:rPr>
              <w:lang w:val="en-GB"/>
            </w:rPr>
          </w:pPr>
          <w:r w:rsidRPr="00AB77B3">
            <w:rPr>
              <w:lang w:val="en-GB"/>
            </w:rPr>
            <w:t xml:space="preserve">The EU should not recommend the mandatory use </w:t>
          </w:r>
          <w:r w:rsidR="00935DEC">
            <w:rPr>
              <w:lang w:val="en-GB"/>
            </w:rPr>
            <w:t xml:space="preserve">of </w:t>
          </w:r>
          <w:r w:rsidRPr="00AB77B3">
            <w:rPr>
              <w:lang w:val="en-GB"/>
            </w:rPr>
            <w:t>bicycle helmets</w:t>
          </w:r>
          <w:r w:rsidR="005860E9">
            <w:rPr>
              <w:lang w:val="en-GB"/>
            </w:rPr>
            <w:t xml:space="preserve">. </w:t>
          </w:r>
          <w:r w:rsidRPr="00AB77B3">
            <w:rPr>
              <w:lang w:val="en-GB"/>
            </w:rPr>
            <w:t>Helmet use should be a choice for the cyclist.</w:t>
          </w:r>
        </w:p>
        <w:p w14:paraId="2D240AE9" w14:textId="77777777" w:rsidR="00AB77B3" w:rsidRPr="00AB77B3" w:rsidRDefault="00AB77B3" w:rsidP="00AB77B3">
          <w:pPr>
            <w:pStyle w:val="ECF-heading3"/>
            <w:rPr>
              <w:rFonts w:eastAsia="Calibri"/>
            </w:rPr>
          </w:pPr>
          <w:r w:rsidRPr="00AB77B3">
            <w:rPr>
              <w:rFonts w:eastAsia="Calibri"/>
            </w:rPr>
            <w:t>Other issues</w:t>
          </w:r>
        </w:p>
        <w:p w14:paraId="30539B11" w14:textId="46322BD0" w:rsidR="00277EEC" w:rsidRDefault="00277EEC" w:rsidP="00277EEC">
          <w:pPr>
            <w:pStyle w:val="Paragraphtext"/>
            <w:numPr>
              <w:ilvl w:val="0"/>
              <w:numId w:val="8"/>
            </w:numPr>
            <w:rPr>
              <w:lang w:val="en-GB"/>
            </w:rPr>
          </w:pPr>
          <w:r>
            <w:rPr>
              <w:lang w:val="en-GB"/>
            </w:rPr>
            <w:t>Improve data collection on cyclist numbers to assess risk. Single bicycle crash and other data are also important to understand.</w:t>
          </w:r>
        </w:p>
        <w:p w14:paraId="621EAA3A" w14:textId="4018949D" w:rsidR="004104F9" w:rsidRPr="00017F9D" w:rsidRDefault="00AB77B3" w:rsidP="00017F9D">
          <w:pPr>
            <w:pStyle w:val="Paragraphtext"/>
            <w:numPr>
              <w:ilvl w:val="0"/>
              <w:numId w:val="8"/>
            </w:numPr>
            <w:rPr>
              <w:lang w:val="en-GB"/>
            </w:rPr>
          </w:pPr>
          <w:r w:rsidRPr="00AB77B3">
            <w:rPr>
              <w:lang w:val="en-GB"/>
            </w:rPr>
            <w:t xml:space="preserve">Propose an EU wide zero (or at least 0.2% BAC) </w:t>
          </w:r>
          <w:r w:rsidR="00595731">
            <w:rPr>
              <w:lang w:val="en-GB"/>
            </w:rPr>
            <w:t xml:space="preserve">alcohol </w:t>
          </w:r>
          <w:r w:rsidRPr="00AB77B3">
            <w:rPr>
              <w:lang w:val="en-GB"/>
            </w:rPr>
            <w:t>tolerance for all drivers</w:t>
          </w:r>
          <w:r w:rsidR="00277EEC">
            <w:rPr>
              <w:lang w:val="en-GB"/>
            </w:rPr>
            <w:t>.</w:t>
          </w:r>
        </w:p>
        <w:p w14:paraId="09F765D1" w14:textId="4C2C4140" w:rsidR="000341B7" w:rsidRDefault="00C762E6" w:rsidP="00382588">
          <w:pPr>
            <w:pStyle w:val="ECF-Heading2"/>
          </w:pPr>
          <w:r>
            <w:t>Status</w:t>
          </w:r>
          <w:r w:rsidR="000341B7">
            <w:t xml:space="preserve"> of Cycling Road Safety across the EU</w:t>
          </w:r>
        </w:p>
        <w:p w14:paraId="48EAF8A7" w14:textId="3FF97367" w:rsidR="008C0155" w:rsidRDefault="008C0155" w:rsidP="003139BE">
          <w:pPr>
            <w:pStyle w:val="Paragraphtext"/>
            <w:rPr>
              <w:lang w:val="en-GB"/>
            </w:rPr>
          </w:pPr>
          <w:r w:rsidRPr="002707DF">
            <w:rPr>
              <w:lang w:val="en-GB"/>
            </w:rPr>
            <w:t xml:space="preserve">In 2010 </w:t>
          </w:r>
          <w:r>
            <w:rPr>
              <w:lang w:val="en-GB"/>
            </w:rPr>
            <w:t>there were 2077 cyclist fatalities, and i</w:t>
          </w:r>
          <w:r w:rsidR="003139BE" w:rsidRPr="002707DF">
            <w:rPr>
              <w:lang w:val="en-GB"/>
            </w:rPr>
            <w:t xml:space="preserve">n 2018 there were 2,160 cyclist fatalities on European roads, </w:t>
          </w:r>
          <w:r>
            <w:rPr>
              <w:lang w:val="en-GB"/>
            </w:rPr>
            <w:t>this represents a negative progress</w:t>
          </w:r>
          <w:r w:rsidR="00801EAB">
            <w:rPr>
              <w:lang w:val="en-GB"/>
            </w:rPr>
            <w:t xml:space="preserve"> in the safety of cyclists over the decade</w:t>
          </w:r>
          <w:r w:rsidR="00090AAE" w:rsidRPr="002707DF">
            <w:rPr>
              <w:vertAlign w:val="superscript"/>
              <w:lang w:val="en-GB"/>
            </w:rPr>
            <w:footnoteReference w:id="1"/>
          </w:r>
          <w:r w:rsidR="00090AAE" w:rsidRPr="002707DF">
            <w:rPr>
              <w:lang w:val="en-GB"/>
            </w:rPr>
            <w:t>.</w:t>
          </w:r>
          <w:r w:rsidR="00090AAE">
            <w:rPr>
              <w:lang w:val="en-GB"/>
            </w:rPr>
            <w:t xml:space="preserve"> </w:t>
          </w:r>
          <w:r w:rsidR="00801EAB">
            <w:rPr>
              <w:lang w:val="en-GB"/>
            </w:rPr>
            <w:t xml:space="preserve">Of course cycling has increased since the start of the decade, however we do not know since </w:t>
          </w:r>
          <w:r w:rsidR="0056716F">
            <w:rPr>
              <w:lang w:val="en-GB"/>
            </w:rPr>
            <w:t>nearly all Member States do not</w:t>
          </w:r>
          <w:r>
            <w:rPr>
              <w:lang w:val="en-GB"/>
            </w:rPr>
            <w:t xml:space="preserve"> </w:t>
          </w:r>
          <w:r w:rsidR="0056716F">
            <w:rPr>
              <w:lang w:val="en-GB"/>
            </w:rPr>
            <w:t>keep data on the number of cyclists. So</w:t>
          </w:r>
          <w:r w:rsidR="00090AAE">
            <w:rPr>
              <w:lang w:val="en-GB"/>
            </w:rPr>
            <w:t xml:space="preserve"> </w:t>
          </w:r>
          <w:r w:rsidR="00BB637E">
            <w:rPr>
              <w:lang w:val="en-GB"/>
            </w:rPr>
            <w:t>u</w:t>
          </w:r>
          <w:r w:rsidR="00BB637E" w:rsidRPr="002707DF">
            <w:rPr>
              <w:lang w:val="en-GB"/>
            </w:rPr>
            <w:t>nfortunately,</w:t>
          </w:r>
          <w:r w:rsidR="0056716F" w:rsidRPr="002707DF">
            <w:rPr>
              <w:lang w:val="en-GB"/>
            </w:rPr>
            <w:t xml:space="preserve"> due to the lack of data or information from the EU member states or from the European Union</w:t>
          </w:r>
          <w:r w:rsidR="00BB637E">
            <w:rPr>
              <w:lang w:val="en-GB"/>
            </w:rPr>
            <w:t>,</w:t>
          </w:r>
          <w:r w:rsidR="0056716F" w:rsidRPr="002707DF">
            <w:rPr>
              <w:lang w:val="en-GB"/>
            </w:rPr>
            <w:t xml:space="preserve"> we simply do not how much progress we have made in reducing risk for cyclists</w:t>
          </w:r>
          <w:r w:rsidR="00BB637E">
            <w:rPr>
              <w:lang w:val="en-GB"/>
            </w:rPr>
            <w:t xml:space="preserve"> across the EU.</w:t>
          </w:r>
        </w:p>
        <w:p w14:paraId="531F4A35" w14:textId="77777777" w:rsidR="003139BE" w:rsidRPr="002707DF" w:rsidRDefault="003139BE" w:rsidP="003139BE">
          <w:pPr>
            <w:pStyle w:val="Paragraphtext"/>
            <w:rPr>
              <w:lang w:val="en-GB"/>
            </w:rPr>
          </w:pPr>
        </w:p>
        <w:p w14:paraId="726EC152" w14:textId="709AA9A0" w:rsidR="003139BE" w:rsidRDefault="003139BE" w:rsidP="003139BE">
          <w:pPr>
            <w:pStyle w:val="Paragraphtext"/>
            <w:rPr>
              <w:lang w:val="en-GB"/>
            </w:rPr>
          </w:pPr>
          <w:r w:rsidRPr="002707DF">
            <w:rPr>
              <w:lang w:val="en-GB"/>
            </w:rPr>
            <w:t xml:space="preserve">All the other modes have seen reductions in deaths on the roads, </w:t>
          </w:r>
          <w:r w:rsidR="001B23E9">
            <w:rPr>
              <w:lang w:val="en-GB"/>
            </w:rPr>
            <w:t>except for cyclists</w:t>
          </w:r>
          <w:r w:rsidR="008354DB">
            <w:rPr>
              <w:lang w:val="en-GB"/>
            </w:rPr>
            <w:t xml:space="preserve">. The Eu and its member states need to understand this, whether </w:t>
          </w:r>
          <w:r w:rsidR="00F67104">
            <w:rPr>
              <w:lang w:val="en-GB"/>
            </w:rPr>
            <w:t>i</w:t>
          </w:r>
          <w:r w:rsidR="008354DB">
            <w:rPr>
              <w:lang w:val="en-GB"/>
            </w:rPr>
            <w:t xml:space="preserve">t is due to more numbers of people cycling or </w:t>
          </w:r>
          <w:r w:rsidR="00F67104">
            <w:rPr>
              <w:lang w:val="en-GB"/>
            </w:rPr>
            <w:t xml:space="preserve">the roads becoming more risky, and act appropriately. </w:t>
          </w:r>
        </w:p>
        <w:p w14:paraId="653B6AA5" w14:textId="77777777" w:rsidR="009F6224" w:rsidRDefault="001B23E9" w:rsidP="009F6224">
          <w:pPr>
            <w:pStyle w:val="Paragraphtext"/>
            <w:keepNext/>
          </w:pPr>
          <w:r>
            <w:rPr>
              <w:noProof/>
            </w:rPr>
            <w:lastRenderedPageBreak/>
            <w:drawing>
              <wp:inline distT="0" distB="0" distL="0" distR="0" wp14:anchorId="13F0A646" wp14:editId="5DA19A27">
                <wp:extent cx="6152515" cy="2226310"/>
                <wp:effectExtent l="0" t="0" r="63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stretch>
                          <a:fillRect/>
                        </a:stretch>
                      </pic:blipFill>
                      <pic:spPr>
                        <a:xfrm>
                          <a:off x="0" y="0"/>
                          <a:ext cx="6152515" cy="2226310"/>
                        </a:xfrm>
                        <a:prstGeom prst="rect">
                          <a:avLst/>
                        </a:prstGeom>
                      </pic:spPr>
                    </pic:pic>
                  </a:graphicData>
                </a:graphic>
              </wp:inline>
            </w:drawing>
          </w:r>
        </w:p>
        <w:p w14:paraId="1DFB607A" w14:textId="2E07221A" w:rsidR="003139BE" w:rsidRPr="002707DF" w:rsidRDefault="009F6224" w:rsidP="009F6224">
          <w:pPr>
            <w:pStyle w:val="Lgende"/>
            <w:jc w:val="both"/>
          </w:pPr>
          <w:r w:rsidRPr="00A36FF0">
            <w:t>Source; ETSC (2020), PIN Flash 38, How Safe is Walking and Cycling in Europe</w:t>
          </w:r>
        </w:p>
        <w:p w14:paraId="00F76CED" w14:textId="20219FDD" w:rsidR="003139BE" w:rsidRDefault="003139BE" w:rsidP="003139BE">
          <w:pPr>
            <w:pStyle w:val="Paragraphtext"/>
            <w:rPr>
              <w:lang w:val="en-GB"/>
            </w:rPr>
          </w:pPr>
          <w:r w:rsidRPr="002707DF">
            <w:rPr>
              <w:lang w:val="en-GB"/>
            </w:rPr>
            <w:t xml:space="preserve">Member States should be admonished for the terrible collection of data and recording of their </w:t>
          </w:r>
          <w:r w:rsidR="00BB0790">
            <w:rPr>
              <w:lang w:val="en-GB"/>
            </w:rPr>
            <w:t xml:space="preserve">cycling </w:t>
          </w:r>
          <w:r w:rsidRPr="002707DF">
            <w:rPr>
              <w:lang w:val="en-GB"/>
            </w:rPr>
            <w:t>citizens deaths on the roads</w:t>
          </w:r>
          <w:r w:rsidR="00B66CFC">
            <w:rPr>
              <w:lang w:val="en-GB"/>
            </w:rPr>
            <w:t xml:space="preserve">. </w:t>
          </w:r>
          <w:r w:rsidRPr="002707DF">
            <w:rPr>
              <w:lang w:val="en-GB"/>
            </w:rPr>
            <w:t xml:space="preserve">We do not have clear </w:t>
          </w:r>
          <w:r w:rsidR="000B54DD">
            <w:rPr>
              <w:lang w:val="en-GB"/>
            </w:rPr>
            <w:t>knowledge</w:t>
          </w:r>
          <w:r w:rsidRPr="002707DF">
            <w:rPr>
              <w:lang w:val="en-GB"/>
            </w:rPr>
            <w:t xml:space="preserve"> concerning single bicycle crashes, we do not have a clear idea of serious injuries</w:t>
          </w:r>
          <w:r w:rsidR="00830EDD">
            <w:rPr>
              <w:lang w:val="en-GB"/>
            </w:rPr>
            <w:t>, nor do we have a clear idea of how much cycling has increased</w:t>
          </w:r>
          <w:r w:rsidRPr="002707DF">
            <w:rPr>
              <w:lang w:val="en-GB"/>
            </w:rPr>
            <w:t xml:space="preserve">. We do not know how many or how often people are cycling and therefore we have no idea of the risk of cycling in each country. </w:t>
          </w:r>
          <w:r w:rsidR="00830EDD">
            <w:rPr>
              <w:lang w:val="en-GB"/>
            </w:rPr>
            <w:t>For example, w</w:t>
          </w:r>
          <w:r w:rsidRPr="002707DF">
            <w:rPr>
              <w:lang w:val="en-GB"/>
            </w:rPr>
            <w:t xml:space="preserve">e know how many cyclists are killed at night in the various EU countries but as we have no idea how many are cycling at </w:t>
          </w:r>
          <w:r w:rsidR="00277EEC" w:rsidRPr="002707DF">
            <w:rPr>
              <w:lang w:val="en-GB"/>
            </w:rPr>
            <w:t>night,</w:t>
          </w:r>
          <w:r w:rsidR="00277EEC">
            <w:rPr>
              <w:lang w:val="en-GB"/>
            </w:rPr>
            <w:t xml:space="preserve"> </w:t>
          </w:r>
          <w:r w:rsidRPr="002707DF">
            <w:rPr>
              <w:lang w:val="en-GB"/>
            </w:rPr>
            <w:t>we have no idea if this is a risky problem area for cyclists.</w:t>
          </w:r>
          <w:r w:rsidR="00277EEC">
            <w:rPr>
              <w:lang w:val="en-GB"/>
            </w:rPr>
            <w:t xml:space="preserve"> </w:t>
          </w:r>
        </w:p>
        <w:p w14:paraId="7C810E75" w14:textId="77777777" w:rsidR="00F637B9" w:rsidRPr="002707DF" w:rsidRDefault="00F637B9" w:rsidP="003139BE">
          <w:pPr>
            <w:pStyle w:val="Paragraphtext"/>
            <w:rPr>
              <w:lang w:val="en-GB"/>
            </w:rPr>
          </w:pPr>
        </w:p>
        <w:p w14:paraId="59AC9C4D" w14:textId="717868E0" w:rsidR="000341B7" w:rsidRPr="003139BE" w:rsidRDefault="003139BE" w:rsidP="003139BE">
          <w:pPr>
            <w:pStyle w:val="Paragraphtext"/>
            <w:rPr>
              <w:lang w:val="en-GB"/>
            </w:rPr>
          </w:pPr>
          <w:r w:rsidRPr="002707DF">
            <w:rPr>
              <w:lang w:val="en-GB"/>
            </w:rPr>
            <w:t>The paucity of data makes it very hard to mak</w:t>
          </w:r>
          <w:r w:rsidR="00F637B9">
            <w:rPr>
              <w:lang w:val="en-GB"/>
            </w:rPr>
            <w:t>e important</w:t>
          </w:r>
          <w:r w:rsidRPr="002707DF">
            <w:rPr>
              <w:lang w:val="en-GB"/>
            </w:rPr>
            <w:t xml:space="preserve"> policy decision and strategies to improve cycling safety. We know that HGVs and large vehicles are dangerous for cyclists, but is this a problem in urban areas or on long distance straight </w:t>
          </w:r>
          <w:r w:rsidR="006820E4">
            <w:rPr>
              <w:lang w:val="en-GB"/>
            </w:rPr>
            <w:t xml:space="preserve">rural </w:t>
          </w:r>
          <w:r w:rsidRPr="002707DF">
            <w:rPr>
              <w:lang w:val="en-GB"/>
            </w:rPr>
            <w:t>routes? What type of large vehicles are involved, articulated trucks or smaller rigid lorries? Construction trucks? The complete lack of data that member states collect is making it difficult to come up with clear transport safety policy.</w:t>
          </w:r>
        </w:p>
        <w:p w14:paraId="5603342A" w14:textId="4DF51368" w:rsidR="002707DF" w:rsidRPr="00411842" w:rsidRDefault="00AB77B3" w:rsidP="00382588">
          <w:pPr>
            <w:pStyle w:val="ECF-Heading2"/>
          </w:pPr>
          <w:r>
            <w:t xml:space="preserve">Cycling </w:t>
          </w:r>
          <w:r w:rsidR="00B33F52">
            <w:t xml:space="preserve">Road </w:t>
          </w:r>
          <w:r>
            <w:t>Safety and Public Health</w:t>
          </w:r>
        </w:p>
        <w:p w14:paraId="62294802" w14:textId="72E09EFB" w:rsidR="00C33C13" w:rsidRPr="00B41C48" w:rsidRDefault="00C33C13" w:rsidP="00DF638B">
          <w:pPr>
            <w:pStyle w:val="Paragraphtext"/>
            <w:rPr>
              <w:lang w:val="en-GB"/>
            </w:rPr>
          </w:pPr>
          <w:r w:rsidRPr="00B41C48">
            <w:rPr>
              <w:lang w:val="en-GB"/>
            </w:rPr>
            <w:t xml:space="preserve">Given the </w:t>
          </w:r>
          <w:r>
            <w:rPr>
              <w:lang w:val="en-GB"/>
            </w:rPr>
            <w:t>large</w:t>
          </w:r>
          <w:r w:rsidRPr="00B41C48">
            <w:rPr>
              <w:lang w:val="en-GB"/>
            </w:rPr>
            <w:t xml:space="preserve"> health benefits of cycling (</w:t>
          </w:r>
          <w:r w:rsidRPr="00B41C48">
            <w:rPr>
              <w:iCs/>
              <w:lang w:val="en-GB"/>
            </w:rPr>
            <w:t>health related life-years gained outweigh injury-related life years lost by significant amounts</w:t>
          </w:r>
          <w:r w:rsidRPr="00B41C48">
            <w:rPr>
              <w:iCs/>
              <w:vertAlign w:val="superscript"/>
              <w:lang w:val="en-GB"/>
            </w:rPr>
            <w:footnoteReference w:id="2"/>
          </w:r>
          <w:r w:rsidRPr="00B41C48">
            <w:rPr>
              <w:iCs/>
              <w:lang w:val="en-GB"/>
            </w:rPr>
            <w:t xml:space="preserve">) </w:t>
          </w:r>
          <w:r w:rsidRPr="00B41C48">
            <w:rPr>
              <w:lang w:val="en-GB"/>
            </w:rPr>
            <w:t xml:space="preserve">a cycling safety plan should look at </w:t>
          </w:r>
          <w:r w:rsidRPr="00B41C48">
            <w:rPr>
              <w:i/>
              <w:iCs/>
              <w:lang w:val="en-GB"/>
            </w:rPr>
            <w:t>promoting</w:t>
          </w:r>
          <w:r w:rsidRPr="00B41C48">
            <w:rPr>
              <w:lang w:val="en-GB"/>
            </w:rPr>
            <w:t xml:space="preserve"> cycling and walking by reducing the perception of risk. Increased cycling is a solution to many issues within our cities as well as promoting improved health. </w:t>
          </w:r>
          <w:r w:rsidR="007349AA">
            <w:rPr>
              <w:lang w:val="en-GB"/>
            </w:rPr>
            <w:t xml:space="preserve">Shifting to cycling </w:t>
          </w:r>
          <w:r w:rsidRPr="00B41C48">
            <w:rPr>
              <w:lang w:val="en-GB"/>
            </w:rPr>
            <w:t>improve</w:t>
          </w:r>
          <w:r w:rsidR="00F46E5A">
            <w:rPr>
              <w:lang w:val="en-GB"/>
            </w:rPr>
            <w:t>s</w:t>
          </w:r>
          <w:r w:rsidRPr="00B41C48">
            <w:rPr>
              <w:lang w:val="en-GB"/>
            </w:rPr>
            <w:t xml:space="preserve"> air quality, ease</w:t>
          </w:r>
          <w:r w:rsidR="00F46E5A">
            <w:rPr>
              <w:lang w:val="en-GB"/>
            </w:rPr>
            <w:t>s</w:t>
          </w:r>
          <w:r w:rsidRPr="00B41C48">
            <w:rPr>
              <w:lang w:val="en-GB"/>
            </w:rPr>
            <w:t xml:space="preserve"> congestion, promote</w:t>
          </w:r>
          <w:r w:rsidR="00F46E5A">
            <w:rPr>
              <w:lang w:val="en-GB"/>
            </w:rPr>
            <w:t>s</w:t>
          </w:r>
          <w:r w:rsidRPr="00B41C48">
            <w:rPr>
              <w:lang w:val="en-GB"/>
            </w:rPr>
            <w:t xml:space="preserve"> liveable cities, and create</w:t>
          </w:r>
          <w:r w:rsidR="00F46E5A">
            <w:rPr>
              <w:lang w:val="en-GB"/>
            </w:rPr>
            <w:t>s</w:t>
          </w:r>
          <w:r w:rsidRPr="00B41C48">
            <w:rPr>
              <w:lang w:val="en-GB"/>
            </w:rPr>
            <w:t xml:space="preserve"> sustainable, democratic access to city amenities and services. Active commuting by bicycle is associated with a substantial decrease in the risk of death from all causes, including cancer and cardiovascular disease, compared with non-active commuting. Active transport use can boost self-esteem, mood, sleep quality and energy, as well as reducing the risk of stress, depression, </w:t>
          </w:r>
          <w:r w:rsidR="006B6BCD" w:rsidRPr="00B41C48">
            <w:rPr>
              <w:lang w:val="en-GB"/>
            </w:rPr>
            <w:t>dementia,</w:t>
          </w:r>
          <w:r w:rsidRPr="00B41C48">
            <w:rPr>
              <w:lang w:val="en-GB"/>
            </w:rPr>
            <w:t xml:space="preserve"> and Alzheimer’s disease. </w:t>
          </w:r>
          <w:r w:rsidR="00C123C6">
            <w:rPr>
              <w:lang w:val="en-GB"/>
            </w:rPr>
            <w:t>ECF conservatively estimates the</w:t>
          </w:r>
          <w:r w:rsidR="00F46E5A">
            <w:rPr>
              <w:lang w:val="en-GB"/>
            </w:rPr>
            <w:t xml:space="preserve"> current economic benefits of cycling </w:t>
          </w:r>
          <w:r w:rsidR="00C123C6">
            <w:rPr>
              <w:lang w:val="en-GB"/>
            </w:rPr>
            <w:t>at around 150 billion euros</w:t>
          </w:r>
          <w:r w:rsidR="00B572DF" w:rsidRPr="00B41C48">
            <w:rPr>
              <w:iCs/>
              <w:vertAlign w:val="superscript"/>
              <w:lang w:val="en-GB"/>
            </w:rPr>
            <w:footnoteReference w:id="3"/>
          </w:r>
          <w:r w:rsidR="00C123C6">
            <w:rPr>
              <w:lang w:val="en-GB"/>
            </w:rPr>
            <w:t>. The high levels of cycling in the Netherlands contributes to around 3-5% of Dutch GDP</w:t>
          </w:r>
          <w:r w:rsidR="007C2120">
            <w:rPr>
              <w:rStyle w:val="Appelnotedebasdep"/>
              <w:lang w:val="en-GB"/>
            </w:rPr>
            <w:footnoteReference w:id="4"/>
          </w:r>
          <w:r w:rsidR="00C123C6">
            <w:rPr>
              <w:lang w:val="en-GB"/>
            </w:rPr>
            <w:t xml:space="preserve">. </w:t>
          </w:r>
          <w:r w:rsidR="00DF638B" w:rsidRPr="00DF638B">
            <w:rPr>
              <w:lang w:val="en-GB"/>
            </w:rPr>
            <w:t xml:space="preserve">In comparison, a recent study by the European Commission estimated the negative externalities, i.e., the costs </w:t>
          </w:r>
          <w:r w:rsidR="00DF638B" w:rsidRPr="00DF638B">
            <w:rPr>
              <w:lang w:val="en-GB"/>
            </w:rPr>
            <w:lastRenderedPageBreak/>
            <w:t>for the environment, health</w:t>
          </w:r>
          <w:r w:rsidR="009F6224">
            <w:rPr>
              <w:lang w:val="en-GB"/>
            </w:rPr>
            <w:t>,</w:t>
          </w:r>
          <w:r w:rsidR="00DF638B" w:rsidRPr="00DF638B">
            <w:rPr>
              <w:lang w:val="en-GB"/>
            </w:rPr>
            <w:t xml:space="preserve"> and mobility, of motorised road transport at 800 billion euros per year</w:t>
          </w:r>
          <w:r w:rsidR="00D61340">
            <w:rPr>
              <w:rStyle w:val="Appelnotedebasdep"/>
              <w:lang w:val="en-GB"/>
            </w:rPr>
            <w:footnoteReference w:id="5"/>
          </w:r>
          <w:r w:rsidR="00DF638B">
            <w:rPr>
              <w:lang w:val="en-GB"/>
            </w:rPr>
            <w:t xml:space="preserve">. The potential </w:t>
          </w:r>
          <w:r w:rsidR="001C5D9C">
            <w:rPr>
              <w:lang w:val="en-GB"/>
            </w:rPr>
            <w:t xml:space="preserve">economic benefits of a shift to cycling is staggering. </w:t>
          </w:r>
        </w:p>
        <w:p w14:paraId="64BC6CAF" w14:textId="77777777" w:rsidR="00C33C13" w:rsidRPr="00B41C48" w:rsidRDefault="00C33C13" w:rsidP="00C33C13">
          <w:pPr>
            <w:pStyle w:val="Paragraphtext"/>
            <w:rPr>
              <w:lang w:val="en-GB"/>
            </w:rPr>
          </w:pPr>
        </w:p>
        <w:p w14:paraId="2BA26E5C" w14:textId="01053448" w:rsidR="00C33C13" w:rsidRPr="00B41C48" w:rsidRDefault="00537A0A" w:rsidP="00C33C13">
          <w:pPr>
            <w:pStyle w:val="Paragraphtext"/>
            <w:rPr>
              <w:iCs/>
              <w:lang w:val="en-GB"/>
            </w:rPr>
          </w:pPr>
          <w:r>
            <w:rPr>
              <w:iCs/>
              <w:lang w:val="en-GB"/>
            </w:rPr>
            <w:t xml:space="preserve">This potential is increased when we consider that </w:t>
          </w:r>
          <w:r w:rsidR="00371DF2">
            <w:rPr>
              <w:iCs/>
              <w:lang w:val="en-GB"/>
            </w:rPr>
            <w:t>a</w:t>
          </w:r>
          <w:r w:rsidR="00C33C13" w:rsidRPr="00B41C48">
            <w:rPr>
              <w:iCs/>
              <w:lang w:val="en-GB"/>
            </w:rPr>
            <w:t>round 50% of motorised vehicle journeys are under 5km and 30% under 3 km</w:t>
          </w:r>
          <w:r w:rsidR="00C33C13" w:rsidRPr="00B41C48">
            <w:rPr>
              <w:iCs/>
              <w:vertAlign w:val="superscript"/>
              <w:lang w:val="en-GB"/>
            </w:rPr>
            <w:footnoteReference w:id="6"/>
          </w:r>
          <w:r w:rsidR="00C33C13" w:rsidRPr="00B41C48">
            <w:rPr>
              <w:iCs/>
              <w:lang w:val="en-GB"/>
            </w:rPr>
            <w:t>. This shows the huge potential of shifting from motorised transport to active modes of transport like cycling. However, a huge barrier to increasing cycling is the perception of safety risks</w:t>
          </w:r>
          <w:r w:rsidR="00C33C13" w:rsidRPr="00B41C48">
            <w:rPr>
              <w:iCs/>
              <w:vertAlign w:val="superscript"/>
              <w:lang w:val="en-GB"/>
            </w:rPr>
            <w:footnoteReference w:id="7"/>
          </w:r>
          <w:r w:rsidR="00C33C13" w:rsidRPr="00B41C48">
            <w:rPr>
              <w:iCs/>
              <w:lang w:val="en-GB"/>
            </w:rPr>
            <w:t xml:space="preserve">, so it is important that cycling, as well as being safe, also looks safe and is comfortable. The perception of risk and safety therefore is an important element of cycling road safety and advocacy. Promoting cycling can improve public health and road safety; while improved road safety promotes cycle use and can increase cycling. Good cycling road safety interventions also therefore promote the use of cycling by reducing the perception of risk, whilst the increase in cycling in turn improves safety and public health.  </w:t>
          </w:r>
        </w:p>
        <w:p w14:paraId="117091C5" w14:textId="77777777" w:rsidR="00C33C13" w:rsidRPr="00B41C48" w:rsidRDefault="00C33C13" w:rsidP="00C33C13">
          <w:pPr>
            <w:pStyle w:val="Paragraphtext"/>
            <w:rPr>
              <w:iCs/>
              <w:lang w:val="en-GB"/>
            </w:rPr>
          </w:pPr>
        </w:p>
        <w:p w14:paraId="14F3075A" w14:textId="7A88C255" w:rsidR="002707DF" w:rsidRPr="000C701C" w:rsidRDefault="00C33C13" w:rsidP="002707DF">
          <w:pPr>
            <w:pStyle w:val="Paragraphtext"/>
            <w:rPr>
              <w:lang w:val="en-GB"/>
            </w:rPr>
          </w:pPr>
          <w:r w:rsidRPr="00411842">
            <w:rPr>
              <w:iCs/>
              <w:lang w:val="en-GB"/>
            </w:rPr>
            <w:t>Crucially it is important to observe that cycling is not overly dangerous; cycling is as risky as walking per distance travelled</w:t>
          </w:r>
          <w:r w:rsidRPr="00411842">
            <w:rPr>
              <w:iCs/>
              <w:vertAlign w:val="superscript"/>
              <w:lang w:val="en-GB"/>
            </w:rPr>
            <w:footnoteReference w:id="8"/>
          </w:r>
          <w:r w:rsidRPr="00411842">
            <w:rPr>
              <w:iCs/>
              <w:lang w:val="en-GB"/>
            </w:rPr>
            <w:t>. Road safety interventions should not decrease the number of cyclists or act as a barrier to potential cyclists, as this intervention would almost always bring about a reduction in overall public health no matter how effective the specific road safety measure is. Rather road safety interventions should be seen as an opportunity to improve public health outcomes generally, through increasing the use of cycling as a sustainable, healthy transport mode.</w:t>
          </w:r>
        </w:p>
        <w:p w14:paraId="548272BD" w14:textId="04CACD1E" w:rsidR="002707DF" w:rsidRPr="002707DF" w:rsidRDefault="00672923" w:rsidP="000C701C">
          <w:pPr>
            <w:pStyle w:val="ECF-Heading2"/>
          </w:pPr>
          <w:r w:rsidRPr="00672923">
            <w:t xml:space="preserve">Specific </w:t>
          </w:r>
          <w:r w:rsidR="00AB77B3">
            <w:t xml:space="preserve">Road Safety </w:t>
          </w:r>
          <w:r w:rsidRPr="00672923">
            <w:t>Measures</w:t>
          </w:r>
        </w:p>
        <w:p w14:paraId="2B78A809" w14:textId="21D05DD2" w:rsidR="002707DF" w:rsidRPr="00411842" w:rsidRDefault="002707DF" w:rsidP="00382588">
          <w:pPr>
            <w:pStyle w:val="ECF-Heading2"/>
          </w:pPr>
          <w:r w:rsidRPr="00411842">
            <w:t>Infrastructure</w:t>
          </w:r>
        </w:p>
        <w:p w14:paraId="3E529FE2" w14:textId="0FE64B3E" w:rsidR="00AB3C0E" w:rsidRPr="00411842" w:rsidRDefault="002707DF" w:rsidP="00105DEF">
          <w:pPr>
            <w:pStyle w:val="Paragraphtext"/>
            <w:rPr>
              <w:lang w:val="en-GB"/>
            </w:rPr>
          </w:pPr>
          <w:r w:rsidRPr="002707DF">
            <w:rPr>
              <w:lang w:val="en-GB"/>
            </w:rPr>
            <w:t>Cycling can be a major contributor to shifting mobility from polluting and passive modes of transport to cleaner, emissions free, active modes of transport. However</w:t>
          </w:r>
          <w:r w:rsidR="00464976" w:rsidRPr="00411842">
            <w:rPr>
              <w:lang w:val="en-GB"/>
            </w:rPr>
            <w:t>,</w:t>
          </w:r>
          <w:r w:rsidRPr="002707DF">
            <w:rPr>
              <w:lang w:val="en-GB"/>
            </w:rPr>
            <w:t xml:space="preserve"> road safety is the number barrier to increasing cycling and getting more people to use their bikes, the design of safer more comfortable road infrastructures for cyclists now </w:t>
          </w:r>
          <w:r w:rsidR="00604035" w:rsidRPr="00411842">
            <w:rPr>
              <w:lang w:val="en-GB"/>
            </w:rPr>
            <w:t>must</w:t>
          </w:r>
          <w:r w:rsidRPr="002707DF">
            <w:rPr>
              <w:lang w:val="en-GB"/>
            </w:rPr>
            <w:t xml:space="preserve"> be a top priority</w:t>
          </w:r>
          <w:r w:rsidR="00B317A4" w:rsidRPr="00411842">
            <w:rPr>
              <w:lang w:val="en-GB"/>
            </w:rPr>
            <w:t xml:space="preserve">. ECF would recommend </w:t>
          </w:r>
          <w:r w:rsidR="00F7122F" w:rsidRPr="00411842">
            <w:rPr>
              <w:lang w:val="en-GB"/>
            </w:rPr>
            <w:t>two</w:t>
          </w:r>
          <w:r w:rsidR="00AB3C0E" w:rsidRPr="00411842">
            <w:rPr>
              <w:lang w:val="en-GB"/>
            </w:rPr>
            <w:t xml:space="preserve"> </w:t>
          </w:r>
          <w:r w:rsidR="00B317A4" w:rsidRPr="00411842">
            <w:rPr>
              <w:lang w:val="en-GB"/>
            </w:rPr>
            <w:t>first principles</w:t>
          </w:r>
          <w:r w:rsidR="00A84BC1" w:rsidRPr="00411842">
            <w:rPr>
              <w:lang w:val="en-GB"/>
            </w:rPr>
            <w:t xml:space="preserve"> when considering cycling infrastructure provisions</w:t>
          </w:r>
          <w:r w:rsidR="00FE3679" w:rsidRPr="00411842">
            <w:rPr>
              <w:lang w:val="en-GB"/>
            </w:rPr>
            <w:t xml:space="preserve">, </w:t>
          </w:r>
        </w:p>
        <w:p w14:paraId="1729B9B1" w14:textId="77777777" w:rsidR="00604035" w:rsidRPr="00411842" w:rsidRDefault="00604035" w:rsidP="00105DEF">
          <w:pPr>
            <w:pStyle w:val="Paragraphtext"/>
            <w:rPr>
              <w:lang w:val="en-GB"/>
            </w:rPr>
          </w:pPr>
        </w:p>
        <w:p w14:paraId="4ED31FE9" w14:textId="5B279C2C" w:rsidR="002707DF" w:rsidRPr="00411842" w:rsidRDefault="00373428" w:rsidP="001D6988">
          <w:pPr>
            <w:pStyle w:val="Paragraphtext"/>
            <w:numPr>
              <w:ilvl w:val="0"/>
              <w:numId w:val="20"/>
            </w:numPr>
            <w:rPr>
              <w:b/>
              <w:bCs/>
              <w:i/>
              <w:iCs/>
              <w:u w:val="single"/>
              <w:lang w:val="en-GB"/>
            </w:rPr>
          </w:pPr>
          <w:bookmarkStart w:id="0" w:name="_Hlk67324229"/>
          <w:r w:rsidRPr="00373428">
            <w:rPr>
              <w:lang w:val="en-GB"/>
            </w:rPr>
            <w:t xml:space="preserve">EU citizens should have the right to active mobility. The public space is space for all, we need a better balance between modes of transport, including more space for Active Mobility. There should be a right to cycle and walk for all people, and there should be a right for Active Mobility </w:t>
          </w:r>
          <w:r w:rsidRPr="00373428">
            <w:rPr>
              <w:lang w:val="en-GB"/>
            </w:rPr>
            <w:lastRenderedPageBreak/>
            <w:t>in public space. This human perspective should be a main principle of all transport planning and investments</w:t>
          </w:r>
          <w:r w:rsidR="00F7122F" w:rsidRPr="00411842">
            <w:rPr>
              <w:lang w:val="en-GB"/>
            </w:rPr>
            <w:t xml:space="preserve">. </w:t>
          </w:r>
        </w:p>
        <w:p w14:paraId="0F370705" w14:textId="5F298BD3" w:rsidR="00AB3C0E" w:rsidRPr="00411842" w:rsidRDefault="00FB1B3F" w:rsidP="001D6988">
          <w:pPr>
            <w:pStyle w:val="Paragraphtext"/>
            <w:numPr>
              <w:ilvl w:val="0"/>
              <w:numId w:val="20"/>
            </w:numPr>
            <w:rPr>
              <w:b/>
              <w:bCs/>
              <w:i/>
              <w:iCs/>
              <w:u w:val="single"/>
              <w:lang w:val="en-GB"/>
            </w:rPr>
          </w:pPr>
          <w:r w:rsidRPr="00411842">
            <w:rPr>
              <w:lang w:val="en-GB"/>
            </w:rPr>
            <w:t>E</w:t>
          </w:r>
          <w:r w:rsidR="00AB3C0E" w:rsidRPr="006A5175">
            <w:rPr>
              <w:lang w:val="en-GB"/>
            </w:rPr>
            <w:t xml:space="preserve">very EU citizen should have access to a safe cycle route network (safe route to school, work, culture); </w:t>
          </w:r>
          <w:r w:rsidR="00696285" w:rsidRPr="00411842">
            <w:rPr>
              <w:lang w:val="en-GB"/>
            </w:rPr>
            <w:t>we</w:t>
          </w:r>
          <w:r w:rsidR="00AB3C0E" w:rsidRPr="006A5175">
            <w:rPr>
              <w:lang w:val="en-GB"/>
            </w:rPr>
            <w:t xml:space="preserve"> can choose to not cycle, but </w:t>
          </w:r>
          <w:r w:rsidR="00696285" w:rsidRPr="00411842">
            <w:rPr>
              <w:lang w:val="en-GB"/>
            </w:rPr>
            <w:t>we</w:t>
          </w:r>
          <w:r w:rsidR="00AB3C0E" w:rsidRPr="006A5175">
            <w:rPr>
              <w:lang w:val="en-GB"/>
            </w:rPr>
            <w:t xml:space="preserve"> should not be prevented from cycling by unsafe roads</w:t>
          </w:r>
          <w:bookmarkEnd w:id="0"/>
          <w:r w:rsidR="00074B46" w:rsidRPr="00411842">
            <w:rPr>
              <w:lang w:val="en-GB"/>
            </w:rPr>
            <w:t>.</w:t>
          </w:r>
        </w:p>
        <w:p w14:paraId="2A418167" w14:textId="77777777" w:rsidR="006A5175" w:rsidRPr="00411842" w:rsidRDefault="006A5175" w:rsidP="002707DF">
          <w:pPr>
            <w:pStyle w:val="Paragraphtext"/>
            <w:rPr>
              <w:b/>
              <w:bCs/>
              <w:i/>
              <w:iCs/>
              <w:u w:val="single"/>
              <w:lang w:val="en-GB"/>
            </w:rPr>
          </w:pPr>
        </w:p>
        <w:p w14:paraId="6BAF8BBC" w14:textId="7DC15BDE" w:rsidR="001F71AE" w:rsidRPr="004F1A0D" w:rsidRDefault="00AB3C0E" w:rsidP="00AB3C0E">
          <w:pPr>
            <w:pStyle w:val="Paragraphtext"/>
            <w:rPr>
              <w:i/>
              <w:iCs/>
              <w:u w:val="single"/>
              <w:lang w:val="en-GB"/>
            </w:rPr>
          </w:pPr>
          <w:r w:rsidRPr="004F1A0D">
            <w:rPr>
              <w:i/>
              <w:iCs/>
              <w:u w:val="single"/>
              <w:lang w:val="en-GB"/>
            </w:rPr>
            <w:t xml:space="preserve">Recommendations </w:t>
          </w:r>
        </w:p>
        <w:p w14:paraId="7DEE465C" w14:textId="77777777" w:rsidR="00661DED" w:rsidRPr="00411842" w:rsidRDefault="00661DED" w:rsidP="00AB3C0E">
          <w:pPr>
            <w:pStyle w:val="Paragraphtext"/>
            <w:rPr>
              <w:lang w:val="en-GB"/>
            </w:rPr>
          </w:pPr>
        </w:p>
        <w:p w14:paraId="3EF32FAD" w14:textId="3FB34CCD" w:rsidR="006A5175" w:rsidRDefault="006A5175" w:rsidP="00673795">
          <w:pPr>
            <w:pStyle w:val="Paragraphtext"/>
            <w:rPr>
              <w:lang w:val="en-GB"/>
            </w:rPr>
          </w:pPr>
          <w:r w:rsidRPr="006A5175">
            <w:rPr>
              <w:lang w:val="en-GB"/>
            </w:rPr>
            <w:t>Short term:</w:t>
          </w:r>
        </w:p>
        <w:p w14:paraId="5C96397A" w14:textId="77777777" w:rsidR="00371DF2" w:rsidRPr="006A5175" w:rsidRDefault="00371DF2" w:rsidP="00673795">
          <w:pPr>
            <w:pStyle w:val="Paragraphtext"/>
            <w:rPr>
              <w:lang w:val="en-GB"/>
            </w:rPr>
          </w:pPr>
        </w:p>
        <w:p w14:paraId="1278C2E9" w14:textId="39A287FB" w:rsidR="006A5175" w:rsidRPr="006A5175" w:rsidRDefault="008247AD" w:rsidP="00673795">
          <w:pPr>
            <w:pStyle w:val="Paragraphtext"/>
            <w:numPr>
              <w:ilvl w:val="0"/>
              <w:numId w:val="8"/>
            </w:numPr>
            <w:rPr>
              <w:lang w:val="en-GB"/>
            </w:rPr>
          </w:pPr>
          <w:r>
            <w:rPr>
              <w:lang w:val="en-GB"/>
            </w:rPr>
            <w:t>Complete</w:t>
          </w:r>
          <w:r w:rsidR="00D8798A">
            <w:rPr>
              <w:lang w:val="en-GB"/>
            </w:rPr>
            <w:t xml:space="preserve"> q</w:t>
          </w:r>
          <w:r w:rsidR="006A5175" w:rsidRPr="006A5175">
            <w:rPr>
              <w:lang w:val="en-GB"/>
            </w:rPr>
            <w:t>uality requirements for cycling infrastructure (on primary road network) in the frame of R</w:t>
          </w:r>
          <w:r w:rsidR="00D5357E">
            <w:rPr>
              <w:lang w:val="en-GB"/>
            </w:rPr>
            <w:t>oad Infrastructure</w:t>
          </w:r>
          <w:r w:rsidR="00F37AE4">
            <w:rPr>
              <w:lang w:val="en-GB"/>
            </w:rPr>
            <w:t xml:space="preserve"> Safety Management R</w:t>
          </w:r>
          <w:r w:rsidR="006A5175" w:rsidRPr="006A5175">
            <w:rPr>
              <w:lang w:val="en-GB"/>
            </w:rPr>
            <w:t xml:space="preserve">ISM2 directive (2021-2023). </w:t>
          </w:r>
          <w:r>
            <w:rPr>
              <w:lang w:val="en-GB"/>
            </w:rPr>
            <w:t>This s</w:t>
          </w:r>
          <w:r w:rsidR="006A5175" w:rsidRPr="006A5175">
            <w:rPr>
              <w:lang w:val="en-GB"/>
            </w:rPr>
            <w:t>hould be complemented by similar document for urban roads, so together we have comprehensive EU-level quality requirements for cycling infrastructure.</w:t>
          </w:r>
        </w:p>
        <w:p w14:paraId="3BD4C60A" w14:textId="77777777" w:rsidR="00043A2E" w:rsidRDefault="006A5175" w:rsidP="00673795">
          <w:pPr>
            <w:pStyle w:val="Paragraphtext"/>
            <w:numPr>
              <w:ilvl w:val="0"/>
              <w:numId w:val="8"/>
            </w:numPr>
            <w:rPr>
              <w:lang w:val="en-GB"/>
            </w:rPr>
          </w:pPr>
          <w:r w:rsidRPr="006A5175">
            <w:rPr>
              <w:lang w:val="en-GB"/>
            </w:rPr>
            <w:t xml:space="preserve">Integrate cycling in the network-wide road safety assessment (also RISM2, deadline 2025). </w:t>
          </w:r>
          <w:r w:rsidR="00673795">
            <w:rPr>
              <w:lang w:val="en-GB"/>
            </w:rPr>
            <w:t>This should address</w:t>
          </w:r>
          <w:r w:rsidRPr="006A5175">
            <w:rPr>
              <w:lang w:val="en-GB"/>
            </w:rPr>
            <w:t xml:space="preserve">: </w:t>
          </w:r>
        </w:p>
        <w:p w14:paraId="73F385F7" w14:textId="43D932C8" w:rsidR="00043A2E" w:rsidRDefault="00043A2E" w:rsidP="00043A2E">
          <w:pPr>
            <w:pStyle w:val="Paragraphtext"/>
            <w:numPr>
              <w:ilvl w:val="1"/>
              <w:numId w:val="8"/>
            </w:numPr>
            <w:rPr>
              <w:lang w:val="en-GB"/>
            </w:rPr>
          </w:pPr>
          <w:r>
            <w:rPr>
              <w:lang w:val="en-GB"/>
            </w:rPr>
            <w:t xml:space="preserve">The fact that </w:t>
          </w:r>
          <w:r w:rsidR="006A5175" w:rsidRPr="006A5175">
            <w:rPr>
              <w:lang w:val="en-GB"/>
            </w:rPr>
            <w:t>motorways are usually assessed only along main carriageway</w:t>
          </w:r>
          <w:r w:rsidR="00E730F8">
            <w:rPr>
              <w:lang w:val="en-GB"/>
            </w:rPr>
            <w:t>s.</w:t>
          </w:r>
          <w:r w:rsidR="006A5175" w:rsidRPr="006A5175">
            <w:rPr>
              <w:lang w:val="en-GB"/>
            </w:rPr>
            <w:t xml:space="preserve"> </w:t>
          </w:r>
        </w:p>
        <w:p w14:paraId="3DDA2DED" w14:textId="079B82BF" w:rsidR="006A5175" w:rsidRPr="006A5175" w:rsidRDefault="006A5175" w:rsidP="00043A2E">
          <w:pPr>
            <w:pStyle w:val="Paragraphtext"/>
            <w:numPr>
              <w:ilvl w:val="1"/>
              <w:numId w:val="8"/>
            </w:numPr>
            <w:rPr>
              <w:lang w:val="en-GB"/>
            </w:rPr>
          </w:pPr>
          <w:r w:rsidRPr="006A5175">
            <w:rPr>
              <w:lang w:val="en-GB"/>
            </w:rPr>
            <w:t>accidents in interchange areas (where the cyclists appear on a lower-class road) stay “under the radar”.</w:t>
          </w:r>
        </w:p>
        <w:p w14:paraId="7620A94C" w14:textId="77777777" w:rsidR="006A5175" w:rsidRPr="006A5175" w:rsidRDefault="006A5175" w:rsidP="00673795">
          <w:pPr>
            <w:pStyle w:val="Paragraphtext"/>
            <w:numPr>
              <w:ilvl w:val="0"/>
              <w:numId w:val="8"/>
            </w:numPr>
            <w:rPr>
              <w:lang w:val="en-GB"/>
            </w:rPr>
          </w:pPr>
          <w:r w:rsidRPr="006A5175">
            <w:rPr>
              <w:lang w:val="en-GB"/>
            </w:rPr>
            <w:t>Integrate cycling and EuroVelo in the revision of the TEN-T guidelines (2023).</w:t>
          </w:r>
        </w:p>
        <w:p w14:paraId="5E0BBE65" w14:textId="37F126FE" w:rsidR="006A5175" w:rsidRPr="006A5175" w:rsidRDefault="006A5175" w:rsidP="00673795">
          <w:pPr>
            <w:pStyle w:val="Paragraphtext"/>
            <w:numPr>
              <w:ilvl w:val="0"/>
              <w:numId w:val="8"/>
            </w:numPr>
            <w:rPr>
              <w:lang w:val="en-GB"/>
            </w:rPr>
          </w:pPr>
          <w:r w:rsidRPr="006A5175">
            <w:rPr>
              <w:lang w:val="en-GB"/>
            </w:rPr>
            <w:t xml:space="preserve">Set up EU-level standards on data about cycling infrastructures, start collecting and monitoring data, </w:t>
          </w:r>
          <w:r w:rsidR="00072A16" w:rsidRPr="006A5175">
            <w:rPr>
              <w:lang w:val="en-GB"/>
            </w:rPr>
            <w:t>e.g.,</w:t>
          </w:r>
          <w:r w:rsidRPr="006A5175">
            <w:rPr>
              <w:lang w:val="en-GB"/>
            </w:rPr>
            <w:t xml:space="preserve"> total length of cycle infrastructure by type (cycle tracks, cycle lanes, other), % of road network safe (in-line with </w:t>
          </w:r>
          <w:r w:rsidR="00072A16" w:rsidRPr="006A5175">
            <w:rPr>
              <w:lang w:val="en-GB"/>
            </w:rPr>
            <w:t>quality</w:t>
          </w:r>
          <w:r w:rsidRPr="006A5175">
            <w:rPr>
              <w:lang w:val="en-GB"/>
            </w:rPr>
            <w:t xml:space="preserve"> requirements) for cyclists, % of population with access to cycle network. As for now, most of Member States do not have this information, and those who have some do not provide it in a consistent manner.</w:t>
          </w:r>
        </w:p>
        <w:p w14:paraId="03941737" w14:textId="77777777" w:rsidR="006A5175" w:rsidRPr="006A5175" w:rsidRDefault="006A5175" w:rsidP="00673795">
          <w:pPr>
            <w:pStyle w:val="Paragraphtext"/>
            <w:numPr>
              <w:ilvl w:val="0"/>
              <w:numId w:val="8"/>
            </w:numPr>
            <w:rPr>
              <w:lang w:val="en-GB"/>
            </w:rPr>
          </w:pPr>
          <w:r w:rsidRPr="006A5175">
            <w:rPr>
              <w:lang w:val="en-GB"/>
            </w:rPr>
            <w:t>Introduction of cycle audit. Planned investments should be systematically reviewed to identify opportunities for improving conditions for cycling.</w:t>
          </w:r>
        </w:p>
        <w:p w14:paraId="3653679C" w14:textId="77777777" w:rsidR="00371DF2" w:rsidRDefault="00371DF2" w:rsidP="00673795">
          <w:pPr>
            <w:pStyle w:val="Paragraphtext"/>
            <w:ind w:left="360"/>
            <w:rPr>
              <w:lang w:val="en-GB"/>
            </w:rPr>
          </w:pPr>
        </w:p>
        <w:p w14:paraId="634B4962" w14:textId="38BA9AA6" w:rsidR="006A5175" w:rsidRDefault="006A5175" w:rsidP="00673795">
          <w:pPr>
            <w:pStyle w:val="Paragraphtext"/>
            <w:ind w:left="360"/>
            <w:rPr>
              <w:lang w:val="en-GB"/>
            </w:rPr>
          </w:pPr>
          <w:r w:rsidRPr="006A5175">
            <w:rPr>
              <w:lang w:val="en-GB"/>
            </w:rPr>
            <w:t>Longer term:</w:t>
          </w:r>
        </w:p>
        <w:p w14:paraId="69CB9703" w14:textId="77777777" w:rsidR="00371DF2" w:rsidRPr="006A5175" w:rsidRDefault="00371DF2" w:rsidP="00673795">
          <w:pPr>
            <w:pStyle w:val="Paragraphtext"/>
            <w:ind w:left="360"/>
            <w:rPr>
              <w:lang w:val="en-GB"/>
            </w:rPr>
          </w:pPr>
        </w:p>
        <w:p w14:paraId="5A4B1B7A" w14:textId="77777777" w:rsidR="006A5175" w:rsidRPr="006A5175" w:rsidRDefault="006A5175" w:rsidP="00673795">
          <w:pPr>
            <w:pStyle w:val="Paragraphtext"/>
            <w:numPr>
              <w:ilvl w:val="0"/>
              <w:numId w:val="8"/>
            </w:numPr>
            <w:rPr>
              <w:lang w:val="en-GB"/>
            </w:rPr>
          </w:pPr>
          <w:r w:rsidRPr="006A5175">
            <w:rPr>
              <w:lang w:val="en-GB"/>
            </w:rPr>
            <w:t>Systematic removal of barriers for active mobility created by the TEN-T networks (rectifying mistakes from badly designed projects in the past).</w:t>
          </w:r>
        </w:p>
        <w:p w14:paraId="0E6A0039" w14:textId="5AF33759" w:rsidR="006A5175" w:rsidRPr="006A5175" w:rsidRDefault="006A5175" w:rsidP="00673795">
          <w:pPr>
            <w:pStyle w:val="Paragraphtext"/>
            <w:numPr>
              <w:ilvl w:val="0"/>
              <w:numId w:val="8"/>
            </w:numPr>
            <w:rPr>
              <w:lang w:val="en-GB"/>
            </w:rPr>
          </w:pPr>
          <w:r w:rsidRPr="006A5175">
            <w:rPr>
              <w:lang w:val="en-GB"/>
            </w:rPr>
            <w:t xml:space="preserve">Harmonisation of national regulations </w:t>
          </w:r>
          <w:r w:rsidR="0065532D">
            <w:rPr>
              <w:lang w:val="en-GB"/>
            </w:rPr>
            <w:t>of</w:t>
          </w:r>
          <w:r w:rsidRPr="006A5175">
            <w:rPr>
              <w:lang w:val="en-GB"/>
            </w:rPr>
            <w:t xml:space="preserve"> cycle infrastructure (for example, common rules for cycle streets, signage of cycle lanes or contraflow cycling) – useful for international mobility.</w:t>
          </w:r>
        </w:p>
        <w:p w14:paraId="13974993" w14:textId="77777777" w:rsidR="006A5175" w:rsidRPr="006A5175" w:rsidRDefault="006A5175" w:rsidP="00673795">
          <w:pPr>
            <w:pStyle w:val="Paragraphtext"/>
            <w:numPr>
              <w:ilvl w:val="0"/>
              <w:numId w:val="8"/>
            </w:numPr>
            <w:rPr>
              <w:lang w:val="en-GB"/>
            </w:rPr>
          </w:pPr>
          <w:r w:rsidRPr="006A5175">
            <w:rPr>
              <w:lang w:val="en-GB"/>
            </w:rPr>
            <w:t>Implementation of the European Cycle Route Network.</w:t>
          </w:r>
        </w:p>
        <w:p w14:paraId="2DEE4F17" w14:textId="77777777" w:rsidR="006A5175" w:rsidRPr="006A5175" w:rsidRDefault="006A5175" w:rsidP="00673795">
          <w:pPr>
            <w:pStyle w:val="Paragraphtext"/>
            <w:numPr>
              <w:ilvl w:val="0"/>
              <w:numId w:val="8"/>
            </w:numPr>
            <w:rPr>
              <w:lang w:val="en-GB"/>
            </w:rPr>
          </w:pPr>
          <w:r w:rsidRPr="006A5175">
            <w:rPr>
              <w:lang w:val="en-GB"/>
            </w:rPr>
            <w:t>Funding for local and regional cycle networks, especially in the less developed regions of the EU.</w:t>
          </w:r>
        </w:p>
        <w:p w14:paraId="2C270EE8" w14:textId="798ABC03" w:rsidR="00501B7D" w:rsidRDefault="006A5175" w:rsidP="000C701C">
          <w:pPr>
            <w:pStyle w:val="Paragraphtext"/>
            <w:numPr>
              <w:ilvl w:val="0"/>
              <w:numId w:val="8"/>
            </w:numPr>
            <w:rPr>
              <w:lang w:val="en-GB"/>
            </w:rPr>
          </w:pPr>
          <w:r w:rsidRPr="006A5175">
            <w:rPr>
              <w:lang w:val="en-GB"/>
            </w:rPr>
            <w:t xml:space="preserve">“Bicycling is the European way” –make </w:t>
          </w:r>
          <w:r w:rsidR="0065532D">
            <w:rPr>
              <w:lang w:val="en-GB"/>
            </w:rPr>
            <w:t>EU</w:t>
          </w:r>
          <w:r w:rsidRPr="006A5175">
            <w:rPr>
              <w:lang w:val="en-GB"/>
            </w:rPr>
            <w:t xml:space="preserve"> know-how </w:t>
          </w:r>
          <w:r w:rsidR="0065532D">
            <w:rPr>
              <w:lang w:val="en-GB"/>
            </w:rPr>
            <w:t>of</w:t>
          </w:r>
          <w:r w:rsidRPr="006A5175">
            <w:rPr>
              <w:lang w:val="en-GB"/>
            </w:rPr>
            <w:t xml:space="preserve"> cycle infrastructure </w:t>
          </w:r>
          <w:r w:rsidR="003321DA">
            <w:rPr>
              <w:lang w:val="en-GB"/>
            </w:rPr>
            <w:t>an</w:t>
          </w:r>
          <w:r w:rsidRPr="006A5175">
            <w:rPr>
              <w:lang w:val="en-GB"/>
            </w:rPr>
            <w:t xml:space="preserve"> EU export product.</w:t>
          </w:r>
        </w:p>
        <w:p w14:paraId="5A5BC8CF" w14:textId="77777777" w:rsidR="00072A16" w:rsidRPr="00072A16" w:rsidRDefault="00072A16" w:rsidP="00072A16">
          <w:pPr>
            <w:pStyle w:val="Paragraphtext"/>
            <w:rPr>
              <w:lang w:val="en-GB"/>
            </w:rPr>
          </w:pPr>
        </w:p>
        <w:p w14:paraId="43EA355B" w14:textId="15605845" w:rsidR="000C1E0E" w:rsidRDefault="002707DF" w:rsidP="000C701C">
          <w:pPr>
            <w:pStyle w:val="ECF-Heading2"/>
          </w:pPr>
          <w:r w:rsidRPr="002707DF">
            <w:t xml:space="preserve">Vehicle regulation – </w:t>
          </w:r>
        </w:p>
        <w:p w14:paraId="1E93C7D2" w14:textId="5B115B58" w:rsidR="002707DF" w:rsidRPr="002707DF" w:rsidRDefault="002707DF" w:rsidP="002707DF">
          <w:pPr>
            <w:pStyle w:val="Paragraphtext"/>
            <w:rPr>
              <w:lang w:val="en-GB"/>
            </w:rPr>
          </w:pPr>
          <w:r w:rsidRPr="002707DF">
            <w:rPr>
              <w:lang w:val="en-GB"/>
            </w:rPr>
            <w:t>In the EU, 83% of cyclist deaths follow a collision with a motor vehicle</w:t>
          </w:r>
          <w:r w:rsidR="00602AF4">
            <w:rPr>
              <w:lang w:val="en-GB"/>
            </w:rPr>
            <w:t xml:space="preserve"> (99% for pedestrians)</w:t>
          </w:r>
          <w:r w:rsidR="009F4B2D">
            <w:rPr>
              <w:rStyle w:val="Appelnotedebasdep"/>
              <w:lang w:val="en-GB"/>
            </w:rPr>
            <w:footnoteReference w:id="9"/>
          </w:r>
          <w:r w:rsidRPr="002707DF">
            <w:rPr>
              <w:lang w:val="en-GB"/>
            </w:rPr>
            <w:t>.</w:t>
          </w:r>
        </w:p>
        <w:p w14:paraId="26658FF1" w14:textId="77777777" w:rsidR="002707DF" w:rsidRPr="002707DF" w:rsidRDefault="002707DF" w:rsidP="002707DF">
          <w:pPr>
            <w:pStyle w:val="Paragraphtext"/>
            <w:rPr>
              <w:lang w:val="en-GB"/>
            </w:rPr>
          </w:pPr>
        </w:p>
        <w:p w14:paraId="214FE36C" w14:textId="77777777" w:rsidR="002707DF" w:rsidRPr="002707DF" w:rsidRDefault="002707DF" w:rsidP="002707DF">
          <w:pPr>
            <w:pStyle w:val="Paragraphtext"/>
            <w:rPr>
              <w:lang w:val="en-GB"/>
            </w:rPr>
          </w:pPr>
          <w:r w:rsidRPr="002707DF">
            <w:rPr>
              <w:noProof/>
              <w:lang w:val="en-GB"/>
            </w:rPr>
            <w:lastRenderedPageBreak/>
            <w:drawing>
              <wp:inline distT="0" distB="0" distL="0" distR="0" wp14:anchorId="40748E8E" wp14:editId="5E98021C">
                <wp:extent cx="6241312" cy="2604977"/>
                <wp:effectExtent l="0" t="0" r="7620" b="5080"/>
                <wp:docPr id="6" name="Chart 6">
                  <a:extLst xmlns:a="http://schemas.openxmlformats.org/drawingml/2006/main">
                    <a:ext uri="{FF2B5EF4-FFF2-40B4-BE49-F238E27FC236}">
                      <a16:creationId xmlns:a16="http://schemas.microsoft.com/office/drawing/2014/main" id="{120877CC-B0A7-4A59-8B08-ECF32BAC7A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D47C08" w14:textId="77777777" w:rsidR="002707DF" w:rsidRPr="002707DF" w:rsidRDefault="002707DF" w:rsidP="002707DF">
          <w:pPr>
            <w:pStyle w:val="Paragraphtext"/>
            <w:rPr>
              <w:lang w:val="en-GB"/>
            </w:rPr>
          </w:pPr>
        </w:p>
        <w:p w14:paraId="198DCCB3" w14:textId="30DC9543" w:rsidR="002707DF" w:rsidRPr="002707DF" w:rsidRDefault="002707DF" w:rsidP="007A343C">
          <w:pPr>
            <w:pStyle w:val="Paragraphtext"/>
            <w:rPr>
              <w:lang w:val="en-GB"/>
            </w:rPr>
          </w:pPr>
          <w:r w:rsidRPr="002707DF">
            <w:rPr>
              <w:lang w:val="en-GB"/>
            </w:rPr>
            <w:t>This underlines the importance of designing and regulating safer vehicles, not only for those inside the vehicle but for those outside the vehicle. Interesting developments have been underway in vehicle technology and the mandatory regulations that mandates vehicle manufacturers to put these improvements in their vehicles.</w:t>
          </w:r>
          <w:r w:rsidR="007A343C" w:rsidRPr="00411842">
            <w:rPr>
              <w:lang w:val="en-GB"/>
            </w:rPr>
            <w:t xml:space="preserve"> The EU has a </w:t>
          </w:r>
          <w:r w:rsidR="000906EB" w:rsidRPr="00411842">
            <w:rPr>
              <w:lang w:val="en-GB"/>
            </w:rPr>
            <w:t xml:space="preserve">clear mandate </w:t>
          </w:r>
          <w:r w:rsidR="003E4ABB">
            <w:rPr>
              <w:lang w:val="en-GB"/>
            </w:rPr>
            <w:t xml:space="preserve">here within the remit of the single market </w:t>
          </w:r>
          <w:r w:rsidR="00086B5E">
            <w:rPr>
              <w:lang w:val="en-GB"/>
            </w:rPr>
            <w:t xml:space="preserve">and must show global leadership through its </w:t>
          </w:r>
          <w:r w:rsidR="00705095">
            <w:rPr>
              <w:lang w:val="en-GB"/>
            </w:rPr>
            <w:t>type approval safety procedures and work on autonomous vehicles and ADAS systems.</w:t>
          </w:r>
        </w:p>
        <w:p w14:paraId="6FF2A905" w14:textId="77D35650" w:rsidR="002707DF" w:rsidRDefault="002707DF" w:rsidP="002707DF">
          <w:pPr>
            <w:pStyle w:val="Paragraphtext"/>
            <w:rPr>
              <w:lang w:val="en-GB"/>
            </w:rPr>
          </w:pPr>
        </w:p>
        <w:p w14:paraId="38F8F56D" w14:textId="5B63A6D0" w:rsidR="00D60618" w:rsidRPr="00411842" w:rsidRDefault="00955F0A" w:rsidP="00AE14CF">
          <w:pPr>
            <w:pStyle w:val="ECFboldtext"/>
          </w:pPr>
          <w:r>
            <w:t>Ge</w:t>
          </w:r>
          <w:r w:rsidR="00D60618" w:rsidRPr="00411842">
            <w:t xml:space="preserve">neral </w:t>
          </w:r>
          <w:r w:rsidR="00AA566D">
            <w:t>S</w:t>
          </w:r>
          <w:r w:rsidR="00D60618" w:rsidRPr="00411842">
            <w:t>afety Regulations</w:t>
          </w:r>
        </w:p>
        <w:p w14:paraId="302451A2" w14:textId="4F1D7AB3" w:rsidR="002707DF" w:rsidRPr="002707DF" w:rsidRDefault="002707DF" w:rsidP="002707DF">
          <w:pPr>
            <w:pStyle w:val="Paragraphtext"/>
            <w:rPr>
              <w:b/>
              <w:bCs/>
              <w:i/>
              <w:iCs/>
              <w:u w:val="single"/>
              <w:lang w:val="en-GB"/>
            </w:rPr>
          </w:pPr>
          <w:r w:rsidRPr="002707DF">
            <w:rPr>
              <w:b/>
              <w:bCs/>
              <w:i/>
              <w:iCs/>
              <w:u w:val="single"/>
              <w:lang w:val="en-GB"/>
            </w:rPr>
            <w:t xml:space="preserve"> </w:t>
          </w:r>
        </w:p>
        <w:p w14:paraId="7C5C7C01" w14:textId="0C93875F" w:rsidR="002707DF" w:rsidRPr="00411842" w:rsidRDefault="00D60618" w:rsidP="002707DF">
          <w:pPr>
            <w:pStyle w:val="Paragraphtext"/>
            <w:rPr>
              <w:lang w:val="en-GB"/>
            </w:rPr>
          </w:pPr>
          <w:r w:rsidRPr="00411842">
            <w:rPr>
              <w:lang w:val="en-GB"/>
            </w:rPr>
            <w:t>T</w:t>
          </w:r>
          <w:r w:rsidR="002707DF" w:rsidRPr="002707DF">
            <w:rPr>
              <w:lang w:val="en-GB"/>
            </w:rPr>
            <w:t xml:space="preserve">he </w:t>
          </w:r>
          <w:r w:rsidRPr="00411842">
            <w:rPr>
              <w:lang w:val="en-GB"/>
            </w:rPr>
            <w:t xml:space="preserve">primary legislation of the </w:t>
          </w:r>
          <w:r w:rsidR="002707DF" w:rsidRPr="002707DF">
            <w:rPr>
              <w:lang w:val="en-GB"/>
            </w:rPr>
            <w:t xml:space="preserve">General Safety Regulations which mandates </w:t>
          </w:r>
          <w:r w:rsidR="003D47D6" w:rsidRPr="00411842">
            <w:rPr>
              <w:lang w:val="en-GB"/>
            </w:rPr>
            <w:t>vehicle</w:t>
          </w:r>
          <w:r w:rsidR="002707DF" w:rsidRPr="002707DF">
            <w:rPr>
              <w:lang w:val="en-GB"/>
            </w:rPr>
            <w:t xml:space="preserve"> safety measures was</w:t>
          </w:r>
          <w:bookmarkStart w:id="1" w:name="_Hlk66887495"/>
          <w:r w:rsidR="002707DF" w:rsidRPr="002707DF">
            <w:rPr>
              <w:lang w:val="en-GB"/>
            </w:rPr>
            <w:t xml:space="preserve"> finalised</w:t>
          </w:r>
          <w:bookmarkEnd w:id="1"/>
          <w:r w:rsidR="002707DF" w:rsidRPr="002707DF">
            <w:rPr>
              <w:vertAlign w:val="superscript"/>
              <w:lang w:val="en-GB"/>
            </w:rPr>
            <w:footnoteReference w:id="10"/>
          </w:r>
          <w:r w:rsidR="002707DF" w:rsidRPr="002707DF">
            <w:rPr>
              <w:lang w:val="en-GB"/>
            </w:rPr>
            <w:t xml:space="preserve"> and approved</w:t>
          </w:r>
          <w:r w:rsidR="002707DF" w:rsidRPr="002707DF">
            <w:rPr>
              <w:vertAlign w:val="superscript"/>
              <w:lang w:val="en-GB"/>
            </w:rPr>
            <w:footnoteReference w:id="11"/>
          </w:r>
          <w:r w:rsidR="002707DF" w:rsidRPr="002707DF">
            <w:rPr>
              <w:lang w:val="en-GB"/>
            </w:rPr>
            <w:t xml:space="preserve"> at the end of 2019 and work got underway in the technical specifications for the secondary legislation, mainly at UNECE but also through the Commission. Two issues stand out here; measures to reduce excessive speed to avoid and mitigate the effects of a crash, and then also a measure to reduce the impact of HGV/truck crashes</w:t>
          </w:r>
          <w:r w:rsidR="00094BED" w:rsidRPr="00411842">
            <w:rPr>
              <w:lang w:val="en-GB"/>
            </w:rPr>
            <w:t>.</w:t>
          </w:r>
        </w:p>
        <w:p w14:paraId="12BCEFC0" w14:textId="77777777" w:rsidR="00094BED" w:rsidRPr="002707DF" w:rsidRDefault="00094BED" w:rsidP="002707DF">
          <w:pPr>
            <w:pStyle w:val="Paragraphtext"/>
            <w:rPr>
              <w:lang w:val="en-GB"/>
            </w:rPr>
          </w:pPr>
        </w:p>
        <w:p w14:paraId="030E2F7F" w14:textId="7564173F" w:rsidR="002707DF" w:rsidRPr="002707DF" w:rsidRDefault="002707DF" w:rsidP="002707DF">
          <w:pPr>
            <w:pStyle w:val="Paragraphtext"/>
            <w:rPr>
              <w:lang w:val="en-GB"/>
            </w:rPr>
          </w:pPr>
          <w:r w:rsidRPr="002707DF">
            <w:rPr>
              <w:lang w:val="en-GB"/>
            </w:rPr>
            <w:t>There was one disappointing factor and that was the implementing legislation on the Intelligent Speed Assistance. The text required that ISA should be a Speed Control Function (SCF) or another type of technology that is just as effective. Unfortunately, the Commission decided that a cascading auditory alarm system would suffice; ECF thought that this was inadequate</w:t>
          </w:r>
          <w:r w:rsidRPr="002707DF">
            <w:rPr>
              <w:vertAlign w:val="superscript"/>
              <w:lang w:val="en-GB"/>
            </w:rPr>
            <w:footnoteReference w:id="12"/>
          </w:r>
          <w:r w:rsidRPr="002707DF">
            <w:rPr>
              <w:lang w:val="en-GB"/>
            </w:rPr>
            <w:t xml:space="preserve">. It is possible within the remit of the regulation to review the measures </w:t>
          </w:r>
          <w:r w:rsidR="00A170FD" w:rsidRPr="00411842">
            <w:rPr>
              <w:lang w:val="en-GB"/>
            </w:rPr>
            <w:t xml:space="preserve">(in 2025) </w:t>
          </w:r>
          <w:r w:rsidRPr="002707DF">
            <w:rPr>
              <w:lang w:val="en-GB"/>
            </w:rPr>
            <w:t xml:space="preserve">and to </w:t>
          </w:r>
          <w:r w:rsidR="00A170FD" w:rsidRPr="00411842">
            <w:rPr>
              <w:lang w:val="en-GB"/>
            </w:rPr>
            <w:t xml:space="preserve">update the regulation. </w:t>
          </w:r>
          <w:r w:rsidRPr="002707DF">
            <w:rPr>
              <w:lang w:val="en-GB"/>
            </w:rPr>
            <w:t xml:space="preserve">We would recommend a review of this as soon as possible </w:t>
          </w:r>
          <w:r w:rsidR="00274E1F" w:rsidRPr="00411842">
            <w:rPr>
              <w:lang w:val="en-GB"/>
            </w:rPr>
            <w:t>to</w:t>
          </w:r>
          <w:r w:rsidRPr="002707DF">
            <w:rPr>
              <w:lang w:val="en-GB"/>
            </w:rPr>
            <w:t xml:space="preserve"> understand the efficacy of Cascading Auditory Warnings (CAW)</w:t>
          </w:r>
          <w:r w:rsidR="00A170FD" w:rsidRPr="00411842">
            <w:rPr>
              <w:lang w:val="en-GB"/>
            </w:rPr>
            <w:t>, and to propose a better more effective system</w:t>
          </w:r>
          <w:r w:rsidRPr="002707DF">
            <w:rPr>
              <w:lang w:val="en-GB"/>
            </w:rPr>
            <w:t>.</w:t>
          </w:r>
        </w:p>
        <w:p w14:paraId="5240DBCD" w14:textId="77777777" w:rsidR="002707DF" w:rsidRPr="002707DF" w:rsidRDefault="002707DF" w:rsidP="002707DF">
          <w:pPr>
            <w:pStyle w:val="Paragraphtext"/>
            <w:rPr>
              <w:lang w:val="en-GB"/>
            </w:rPr>
          </w:pPr>
        </w:p>
        <w:p w14:paraId="1D3D17F3" w14:textId="77777777" w:rsidR="002707DF" w:rsidRPr="002707DF" w:rsidRDefault="002707DF" w:rsidP="002707DF">
          <w:pPr>
            <w:pStyle w:val="Paragraphtext"/>
            <w:rPr>
              <w:lang w:val="en-GB"/>
            </w:rPr>
          </w:pPr>
          <w:r w:rsidRPr="002707DF">
            <w:rPr>
              <w:lang w:val="en-GB"/>
            </w:rPr>
            <w:t>Secondly, as required by the 2019 primary legislation trucks must reduce “…to the greatest possible extent the blind spots in front of and to the side of the driver”</w:t>
          </w:r>
          <w:r w:rsidRPr="002707DF">
            <w:rPr>
              <w:vertAlign w:val="superscript"/>
              <w:lang w:val="en-GB"/>
            </w:rPr>
            <w:footnoteReference w:id="13"/>
          </w:r>
          <w:r w:rsidRPr="002707DF">
            <w:rPr>
              <w:lang w:val="en-GB"/>
            </w:rPr>
            <w:t>. This is being shrunk to its minimum by industry interests, the Parliament in its reviewing role and the Council Member States in their UNECE membership status, must stand form in improving the Direct Vision to the ‘greatest possible extent</w:t>
          </w:r>
        </w:p>
        <w:p w14:paraId="030E47BA" w14:textId="77777777" w:rsidR="00953D59" w:rsidRPr="00411842" w:rsidRDefault="00953D59" w:rsidP="002707DF">
          <w:pPr>
            <w:pStyle w:val="Paragraphtext"/>
            <w:rPr>
              <w:lang w:val="en-GB"/>
            </w:rPr>
          </w:pPr>
        </w:p>
        <w:p w14:paraId="4BCC92E7" w14:textId="0AEE19FC" w:rsidR="002707DF" w:rsidRDefault="002707DF" w:rsidP="002707DF">
          <w:pPr>
            <w:pStyle w:val="Paragraphtext"/>
            <w:rPr>
              <w:lang w:val="en-GB"/>
            </w:rPr>
          </w:pPr>
          <w:r w:rsidRPr="004F1A0D">
            <w:rPr>
              <w:i/>
              <w:iCs/>
              <w:u w:val="single"/>
              <w:lang w:val="en-GB"/>
            </w:rPr>
            <w:t xml:space="preserve">Recommendations </w:t>
          </w:r>
          <w:r w:rsidRPr="002707DF">
            <w:rPr>
              <w:lang w:val="en-GB"/>
            </w:rPr>
            <w:t>to the EU</w:t>
          </w:r>
        </w:p>
        <w:p w14:paraId="6B678760" w14:textId="77777777" w:rsidR="00661DED" w:rsidRPr="002707DF" w:rsidRDefault="00661DED" w:rsidP="002707DF">
          <w:pPr>
            <w:pStyle w:val="Paragraphtext"/>
            <w:rPr>
              <w:lang w:val="en-GB"/>
            </w:rPr>
          </w:pPr>
        </w:p>
        <w:p w14:paraId="10C32B6D" w14:textId="77777777" w:rsidR="003D3144" w:rsidRDefault="002707DF" w:rsidP="003D3144">
          <w:pPr>
            <w:pStyle w:val="Paragraphtext"/>
            <w:rPr>
              <w:lang w:val="en-GB"/>
            </w:rPr>
          </w:pPr>
          <w:r w:rsidRPr="002707DF">
            <w:rPr>
              <w:lang w:val="en-GB"/>
            </w:rPr>
            <w:t>Short term</w:t>
          </w:r>
        </w:p>
        <w:p w14:paraId="022C88A8" w14:textId="2F239105" w:rsidR="002707DF" w:rsidRPr="002707DF" w:rsidRDefault="0089246B" w:rsidP="00DC6699">
          <w:pPr>
            <w:pStyle w:val="Paragraphtext"/>
            <w:numPr>
              <w:ilvl w:val="0"/>
              <w:numId w:val="8"/>
            </w:numPr>
            <w:rPr>
              <w:lang w:val="en-GB"/>
            </w:rPr>
          </w:pPr>
          <w:r w:rsidRPr="00411842">
            <w:rPr>
              <w:lang w:val="en-GB"/>
            </w:rPr>
            <w:t xml:space="preserve">to </w:t>
          </w:r>
          <w:r w:rsidR="002707DF" w:rsidRPr="002707DF">
            <w:rPr>
              <w:lang w:val="en-GB"/>
            </w:rPr>
            <w:t>require the fitment of a fully functioning Intelligent Speed Assistance system, which interacts with the driver through the pedal or Speed Control Function, rather than also allowing an Auditory Warning System</w:t>
          </w:r>
          <w:r w:rsidR="00206B5F">
            <w:rPr>
              <w:lang w:val="en-GB"/>
            </w:rPr>
            <w:t>.</w:t>
          </w:r>
        </w:p>
        <w:p w14:paraId="01833541" w14:textId="3714AC52" w:rsidR="002707DF" w:rsidRPr="002707DF" w:rsidRDefault="002707DF" w:rsidP="00DC6699">
          <w:pPr>
            <w:pStyle w:val="Paragraphtext"/>
            <w:numPr>
              <w:ilvl w:val="0"/>
              <w:numId w:val="8"/>
            </w:numPr>
            <w:rPr>
              <w:lang w:val="en-GB"/>
            </w:rPr>
          </w:pPr>
          <w:r w:rsidRPr="002707DF">
            <w:rPr>
              <w:lang w:val="en-GB"/>
            </w:rPr>
            <w:t xml:space="preserve">In the medium term the secondary legislation should be reviewed </w:t>
          </w:r>
          <w:r w:rsidR="0089246B" w:rsidRPr="00411842">
            <w:rPr>
              <w:lang w:val="en-GB"/>
            </w:rPr>
            <w:t xml:space="preserve">in 2025 </w:t>
          </w:r>
          <w:r w:rsidRPr="002707DF">
            <w:rPr>
              <w:lang w:val="en-GB"/>
            </w:rPr>
            <w:t>and improved to take into account developments in the ISA technology to make sure that the best systems available are mandated for vehicles</w:t>
          </w:r>
          <w:r w:rsidR="00206B5F">
            <w:rPr>
              <w:lang w:val="en-GB"/>
            </w:rPr>
            <w:t>.</w:t>
          </w:r>
        </w:p>
        <w:p w14:paraId="585E53C1" w14:textId="049EF352" w:rsidR="003D3144" w:rsidRDefault="003D3144" w:rsidP="003D3144">
          <w:pPr>
            <w:pStyle w:val="Paragraphtext"/>
            <w:ind w:left="360"/>
            <w:rPr>
              <w:lang w:val="en-GB"/>
            </w:rPr>
          </w:pPr>
          <w:r>
            <w:rPr>
              <w:lang w:val="en-GB"/>
            </w:rPr>
            <w:t>L</w:t>
          </w:r>
          <w:r w:rsidR="000500F3" w:rsidRPr="00411842">
            <w:rPr>
              <w:lang w:val="en-GB"/>
            </w:rPr>
            <w:t xml:space="preserve">ong term, </w:t>
          </w:r>
        </w:p>
        <w:p w14:paraId="219EB624" w14:textId="0555FE65" w:rsidR="002707DF" w:rsidRPr="002707DF" w:rsidRDefault="003D3144" w:rsidP="003D3144">
          <w:pPr>
            <w:pStyle w:val="Paragraphtext"/>
            <w:numPr>
              <w:ilvl w:val="0"/>
              <w:numId w:val="27"/>
            </w:numPr>
            <w:rPr>
              <w:lang w:val="en-GB"/>
            </w:rPr>
          </w:pPr>
          <w:r>
            <w:rPr>
              <w:lang w:val="en-GB"/>
            </w:rPr>
            <w:t>E</w:t>
          </w:r>
          <w:r w:rsidR="002707DF" w:rsidRPr="002707DF">
            <w:rPr>
              <w:lang w:val="en-GB"/>
            </w:rPr>
            <w:t xml:space="preserve">ventually a non-overridable, always on ISA system should be mandated in all motor vehicles; there is no need to be speeding on the roads.  </w:t>
          </w:r>
        </w:p>
        <w:p w14:paraId="60BE3E0A" w14:textId="77777777" w:rsidR="002707DF" w:rsidRPr="002707DF" w:rsidRDefault="002707DF" w:rsidP="00DC6699">
          <w:pPr>
            <w:pStyle w:val="Paragraphtext"/>
            <w:numPr>
              <w:ilvl w:val="0"/>
              <w:numId w:val="8"/>
            </w:numPr>
            <w:rPr>
              <w:lang w:val="en-GB"/>
            </w:rPr>
          </w:pPr>
          <w:r w:rsidRPr="002707DF">
            <w:rPr>
              <w:lang w:val="en-GB"/>
            </w:rPr>
            <w:t>Top speed limiters should be made mandatory on vans as they currently are on trucks and buses.</w:t>
          </w:r>
        </w:p>
        <w:p w14:paraId="7D5EF0D0" w14:textId="77777777" w:rsidR="002707DF" w:rsidRPr="002707DF" w:rsidRDefault="002707DF" w:rsidP="00DC6699">
          <w:pPr>
            <w:pStyle w:val="Paragraphtext"/>
            <w:numPr>
              <w:ilvl w:val="0"/>
              <w:numId w:val="8"/>
            </w:numPr>
            <w:rPr>
              <w:lang w:val="en-GB"/>
            </w:rPr>
          </w:pPr>
          <w:r w:rsidRPr="002707DF">
            <w:rPr>
              <w:lang w:val="en-GB"/>
            </w:rPr>
            <w:t xml:space="preserve">Parliament, as reviewing body, and Council Member States as contracting parties of UNECE to make sure blind spots are reduced “to the greatest possible extent” in UNECE regulations on truck Direct Vision. </w:t>
          </w:r>
        </w:p>
        <w:p w14:paraId="3E4968BA" w14:textId="090C1BC8" w:rsidR="002707DF" w:rsidRPr="002707DF" w:rsidRDefault="001D3DB0" w:rsidP="000500F3">
          <w:pPr>
            <w:pStyle w:val="Paragraphtext"/>
            <w:numPr>
              <w:ilvl w:val="0"/>
              <w:numId w:val="8"/>
            </w:numPr>
            <w:rPr>
              <w:lang w:val="en-GB"/>
            </w:rPr>
          </w:pPr>
          <w:r w:rsidRPr="002707DF">
            <w:rPr>
              <w:lang w:val="en-GB"/>
            </w:rPr>
            <w:t xml:space="preserve">Encourage Member State and local authorities to keep larger vehicles </w:t>
          </w:r>
          <w:r w:rsidRPr="00411842">
            <w:rPr>
              <w:lang w:val="en-GB"/>
            </w:rPr>
            <w:t xml:space="preserve">out </w:t>
          </w:r>
          <w:r w:rsidRPr="002707DF">
            <w:rPr>
              <w:lang w:val="en-GB"/>
            </w:rPr>
            <w:t>of the city as much as possible. We should be looking to separate cyclists/pedestrians from large heavy goods vehicles, particularly construction vehicles unless it is absolutely not possible, larger vehicles should only make necessary journeys, or having specific routes that are away from routes that are used by lots of cyclists. Cargo bikes could be a good substitute for many freight trips in urban areas</w:t>
          </w:r>
          <w:r w:rsidR="000500F3" w:rsidRPr="00411842">
            <w:rPr>
              <w:lang w:val="en-GB"/>
            </w:rPr>
            <w:t>.</w:t>
          </w:r>
        </w:p>
        <w:p w14:paraId="1799E9B1" w14:textId="77777777" w:rsidR="000C1E0E" w:rsidRDefault="000C1E0E" w:rsidP="002707DF">
          <w:pPr>
            <w:pStyle w:val="Paragraphtext"/>
            <w:rPr>
              <w:lang w:val="en-GB"/>
            </w:rPr>
          </w:pPr>
        </w:p>
        <w:p w14:paraId="3355A08D" w14:textId="2A158B9E" w:rsidR="002707DF" w:rsidRPr="002707DF" w:rsidRDefault="00DD7320" w:rsidP="00AE14CF">
          <w:pPr>
            <w:pStyle w:val="ECFboldtext"/>
          </w:pPr>
          <w:r w:rsidRPr="00411842">
            <w:t xml:space="preserve">Advanced, </w:t>
          </w:r>
          <w:r w:rsidR="002707DF" w:rsidRPr="002707DF">
            <w:t xml:space="preserve">Autonomous and </w:t>
          </w:r>
          <w:r w:rsidRPr="00411842">
            <w:t>C</w:t>
          </w:r>
          <w:r w:rsidR="002707DF" w:rsidRPr="002707DF">
            <w:t>onnected vehicle</w:t>
          </w:r>
          <w:r w:rsidR="00AA082A">
            <w:t>s</w:t>
          </w:r>
          <w:r w:rsidRPr="00411842">
            <w:t xml:space="preserve"> </w:t>
          </w:r>
          <w:r w:rsidR="00AA082A">
            <w:t xml:space="preserve">and </w:t>
          </w:r>
          <w:r w:rsidRPr="00411842">
            <w:t>systems</w:t>
          </w:r>
        </w:p>
        <w:p w14:paraId="76FD1045" w14:textId="77777777" w:rsidR="002707DF" w:rsidRPr="002707DF" w:rsidRDefault="002707DF" w:rsidP="002707DF">
          <w:pPr>
            <w:pStyle w:val="Paragraphtext"/>
            <w:rPr>
              <w:lang w:val="en-GB"/>
            </w:rPr>
          </w:pPr>
        </w:p>
        <w:p w14:paraId="44F1499D" w14:textId="058B4FB0" w:rsidR="00CD4ABE" w:rsidRPr="00411842" w:rsidRDefault="00B20507" w:rsidP="002707DF">
          <w:pPr>
            <w:pStyle w:val="Paragraphtext"/>
            <w:rPr>
              <w:lang w:val="en-GB"/>
            </w:rPr>
          </w:pPr>
          <w:r w:rsidRPr="00411842">
            <w:rPr>
              <w:lang w:val="en-GB"/>
            </w:rPr>
            <w:t xml:space="preserve">Currently autonomous vehicles do not yest exist, or at least certainly not </w:t>
          </w:r>
          <w:r w:rsidR="00532C07" w:rsidRPr="00411842">
            <w:rPr>
              <w:lang w:val="en-GB"/>
            </w:rPr>
            <w:t>as many that would have an impact on the vehicle fleet. However</w:t>
          </w:r>
          <w:r w:rsidR="009245AF" w:rsidRPr="00411842">
            <w:rPr>
              <w:lang w:val="en-GB"/>
            </w:rPr>
            <w:t>,</w:t>
          </w:r>
          <w:r w:rsidR="00532C07" w:rsidRPr="00411842">
            <w:rPr>
              <w:lang w:val="en-GB"/>
            </w:rPr>
            <w:t xml:space="preserve"> it is </w:t>
          </w:r>
          <w:r w:rsidR="001F40EA" w:rsidRPr="00411842">
            <w:rPr>
              <w:lang w:val="en-GB"/>
            </w:rPr>
            <w:t xml:space="preserve">an end point of many various interests within the transport field, and so it is important that it is confronted </w:t>
          </w:r>
          <w:r w:rsidR="00AD3D61" w:rsidRPr="00411842">
            <w:rPr>
              <w:lang w:val="en-GB"/>
            </w:rPr>
            <w:t xml:space="preserve">and that we can begin to understand what that impact may be and </w:t>
          </w:r>
          <w:r w:rsidR="007725B5" w:rsidRPr="00411842">
            <w:rPr>
              <w:lang w:val="en-GB"/>
            </w:rPr>
            <w:t xml:space="preserve">deal adequately with any possible regulatory needs. </w:t>
          </w:r>
          <w:r w:rsidR="00A54425" w:rsidRPr="00411842">
            <w:rPr>
              <w:lang w:val="en-GB"/>
            </w:rPr>
            <w:t xml:space="preserve">If we carry on with the private motor car ownership model, it will be even more difficult to move people onto sustainable modes, and </w:t>
          </w:r>
          <w:r w:rsidR="00843B57" w:rsidRPr="00411842">
            <w:rPr>
              <w:lang w:val="en-GB"/>
            </w:rPr>
            <w:t xml:space="preserve">ECF has </w:t>
          </w:r>
          <w:r w:rsidR="00E3405C" w:rsidRPr="00411842">
            <w:rPr>
              <w:lang w:val="en-GB"/>
            </w:rPr>
            <w:t>many reservations about their use beyond road safety, such as</w:t>
          </w:r>
          <w:r w:rsidR="00C458A3" w:rsidRPr="00411842">
            <w:rPr>
              <w:lang w:val="en-GB"/>
            </w:rPr>
            <w:t>;</w:t>
          </w:r>
          <w:r w:rsidR="00E3405C" w:rsidRPr="00411842">
            <w:rPr>
              <w:lang w:val="en-GB"/>
            </w:rPr>
            <w:t xml:space="preserve"> zero occupancy driving</w:t>
          </w:r>
          <w:r w:rsidR="00C458A3" w:rsidRPr="00411842">
            <w:rPr>
              <w:lang w:val="en-GB"/>
            </w:rPr>
            <w:t xml:space="preserve"> and increased congestion;</w:t>
          </w:r>
          <w:r w:rsidR="00E3405C" w:rsidRPr="00411842">
            <w:rPr>
              <w:lang w:val="en-GB"/>
            </w:rPr>
            <w:t xml:space="preserve"> kerb side politics of rob—taxis and driverless freight</w:t>
          </w:r>
          <w:r w:rsidR="00C458A3" w:rsidRPr="00411842">
            <w:rPr>
              <w:lang w:val="en-GB"/>
            </w:rPr>
            <w:t xml:space="preserve">; </w:t>
          </w:r>
          <w:r w:rsidR="00BA5A43" w:rsidRPr="00411842">
            <w:rPr>
              <w:lang w:val="en-GB"/>
            </w:rPr>
            <w:t>modal shift away from public transport and active modes of transport</w:t>
          </w:r>
          <w:r w:rsidR="00C458A3" w:rsidRPr="00411842">
            <w:rPr>
              <w:lang w:val="en-GB"/>
            </w:rPr>
            <w:t>; the</w:t>
          </w:r>
          <w:r w:rsidR="00CD4ABE" w:rsidRPr="00411842">
            <w:rPr>
              <w:lang w:val="en-GB"/>
            </w:rPr>
            <w:t xml:space="preserve"> impact on the value of travel time and the unintended consequences of more sprawling cities</w:t>
          </w:r>
          <w:r w:rsidR="000B3DBE" w:rsidRPr="00411842">
            <w:rPr>
              <w:lang w:val="en-GB"/>
            </w:rPr>
            <w:t xml:space="preserve">; to name a few. </w:t>
          </w:r>
        </w:p>
        <w:p w14:paraId="47D4D361" w14:textId="4ABE1551" w:rsidR="00D2661E" w:rsidRPr="00411842" w:rsidRDefault="00D2661E" w:rsidP="002707DF">
          <w:pPr>
            <w:pStyle w:val="Paragraphtext"/>
            <w:rPr>
              <w:lang w:val="en-GB"/>
            </w:rPr>
          </w:pPr>
        </w:p>
        <w:p w14:paraId="006D834D" w14:textId="6DFCA8B9" w:rsidR="000500F3" w:rsidRPr="00411842" w:rsidRDefault="00BA5A43" w:rsidP="002707DF">
          <w:pPr>
            <w:pStyle w:val="Paragraphtext"/>
            <w:rPr>
              <w:lang w:val="en-GB"/>
            </w:rPr>
          </w:pPr>
          <w:r w:rsidRPr="00411842">
            <w:rPr>
              <w:lang w:val="en-GB"/>
            </w:rPr>
            <w:t xml:space="preserve">With regards to road safety there are </w:t>
          </w:r>
          <w:r w:rsidR="0096607B" w:rsidRPr="00411842">
            <w:rPr>
              <w:lang w:val="en-GB"/>
            </w:rPr>
            <w:t>concerns around the behaviour of these vehicles with other modes</w:t>
          </w:r>
          <w:r w:rsidR="00C458A3" w:rsidRPr="00411842">
            <w:rPr>
              <w:lang w:val="en-GB"/>
            </w:rPr>
            <w:t xml:space="preserve"> of transport</w:t>
          </w:r>
          <w:r w:rsidR="00E2233F" w:rsidRPr="00411842">
            <w:rPr>
              <w:lang w:val="en-GB"/>
            </w:rPr>
            <w:t>;</w:t>
          </w:r>
          <w:r w:rsidR="00C458A3" w:rsidRPr="00411842">
            <w:rPr>
              <w:lang w:val="en-GB"/>
            </w:rPr>
            <w:t xml:space="preserve"> risk </w:t>
          </w:r>
          <w:r w:rsidR="000B3DBE" w:rsidRPr="00411842">
            <w:rPr>
              <w:lang w:val="en-GB"/>
            </w:rPr>
            <w:t>assumptions by those around the vehicle</w:t>
          </w:r>
          <w:r w:rsidR="00E2233F" w:rsidRPr="00411842">
            <w:rPr>
              <w:lang w:val="en-GB"/>
            </w:rPr>
            <w:t>;</w:t>
          </w:r>
          <w:r w:rsidR="00C96CCB" w:rsidRPr="00411842">
            <w:rPr>
              <w:lang w:val="en-GB"/>
            </w:rPr>
            <w:t xml:space="preserve"> </w:t>
          </w:r>
          <w:r w:rsidR="000B3DBE" w:rsidRPr="00411842">
            <w:rPr>
              <w:lang w:val="en-GB"/>
            </w:rPr>
            <w:t xml:space="preserve">reduced investment in </w:t>
          </w:r>
          <w:r w:rsidR="003966F2" w:rsidRPr="00411842">
            <w:rPr>
              <w:lang w:val="en-GB"/>
            </w:rPr>
            <w:t>already sustainable modes;</w:t>
          </w:r>
          <w:r w:rsidR="00C96CCB" w:rsidRPr="00411842">
            <w:rPr>
              <w:lang w:val="en-GB"/>
            </w:rPr>
            <w:t xml:space="preserve"> how should </w:t>
          </w:r>
          <w:r w:rsidR="00872F55" w:rsidRPr="00411842">
            <w:rPr>
              <w:lang w:val="en-GB"/>
            </w:rPr>
            <w:t>regulatory</w:t>
          </w:r>
          <w:r w:rsidR="00C96CCB" w:rsidRPr="00411842">
            <w:rPr>
              <w:lang w:val="en-GB"/>
            </w:rPr>
            <w:t xml:space="preserve"> </w:t>
          </w:r>
          <w:r w:rsidR="00872F55" w:rsidRPr="00411842">
            <w:rPr>
              <w:lang w:val="en-GB"/>
            </w:rPr>
            <w:t>authorities</w:t>
          </w:r>
          <w:r w:rsidR="00C96CCB" w:rsidRPr="00411842">
            <w:rPr>
              <w:lang w:val="en-GB"/>
            </w:rPr>
            <w:t xml:space="preserve"> deal with </w:t>
          </w:r>
          <w:r w:rsidR="00872F55" w:rsidRPr="00411842">
            <w:rPr>
              <w:lang w:val="en-GB"/>
            </w:rPr>
            <w:t>regulating for these vehicles.</w:t>
          </w:r>
          <w:r w:rsidR="003966F2" w:rsidRPr="00411842">
            <w:rPr>
              <w:lang w:val="en-GB"/>
            </w:rPr>
            <w:t xml:space="preserve"> </w:t>
          </w:r>
          <w:r w:rsidR="00872F55" w:rsidRPr="00411842">
            <w:rPr>
              <w:lang w:val="en-GB"/>
            </w:rPr>
            <w:t>Finally,</w:t>
          </w:r>
          <w:r w:rsidR="00E62C2C" w:rsidRPr="00411842">
            <w:rPr>
              <w:lang w:val="en-GB"/>
            </w:rPr>
            <w:t xml:space="preserve"> there are of course the ethical “trolley bus” questions of how a vehicle should react when </w:t>
          </w:r>
          <w:r w:rsidR="00B64828" w:rsidRPr="00411842">
            <w:rPr>
              <w:lang w:val="en-GB"/>
            </w:rPr>
            <w:t xml:space="preserve">deciding between </w:t>
          </w:r>
          <w:r w:rsidR="00C96CCB" w:rsidRPr="00411842">
            <w:rPr>
              <w:lang w:val="en-GB"/>
            </w:rPr>
            <w:t>protecting</w:t>
          </w:r>
          <w:r w:rsidR="00B64828" w:rsidRPr="00411842">
            <w:rPr>
              <w:lang w:val="en-GB"/>
            </w:rPr>
            <w:t xml:space="preserve"> its occupant or those outside the vehicle </w:t>
          </w:r>
          <w:r w:rsidR="00C96CCB" w:rsidRPr="00411842">
            <w:rPr>
              <w:lang w:val="en-GB"/>
            </w:rPr>
            <w:t xml:space="preserve">in the event of a critical </w:t>
          </w:r>
          <w:r w:rsidR="00872F55" w:rsidRPr="00411842">
            <w:rPr>
              <w:lang w:val="en-GB"/>
            </w:rPr>
            <w:t>situation.</w:t>
          </w:r>
        </w:p>
        <w:p w14:paraId="10E1AE15" w14:textId="7A98A039" w:rsidR="00872F55" w:rsidRPr="00411842" w:rsidRDefault="00872F55" w:rsidP="002707DF">
          <w:pPr>
            <w:pStyle w:val="Paragraphtext"/>
            <w:rPr>
              <w:lang w:val="en-GB"/>
            </w:rPr>
          </w:pPr>
        </w:p>
        <w:p w14:paraId="4C47B77F" w14:textId="78B18F97" w:rsidR="00872F55" w:rsidRPr="00411842" w:rsidRDefault="00872F55" w:rsidP="002707DF">
          <w:pPr>
            <w:pStyle w:val="Paragraphtext"/>
            <w:rPr>
              <w:lang w:val="en-GB"/>
            </w:rPr>
          </w:pPr>
          <w:r w:rsidRPr="00411842">
            <w:rPr>
              <w:lang w:val="en-GB"/>
            </w:rPr>
            <w:t xml:space="preserve">There is also a more current </w:t>
          </w:r>
          <w:r w:rsidR="00E47E47" w:rsidRPr="00411842">
            <w:rPr>
              <w:lang w:val="en-GB"/>
            </w:rPr>
            <w:t xml:space="preserve">problem and that is the safety concerns around Level1-4 of autonomy, the Advanced Driver </w:t>
          </w:r>
          <w:r w:rsidR="007A1934" w:rsidRPr="00411842">
            <w:rPr>
              <w:lang w:val="en-GB"/>
            </w:rPr>
            <w:t xml:space="preserve">Assistance Systems. Many of these can indeed bring a greater level of safety for those outside the vehicle, however they will certainly not be a magic bullet that will </w:t>
          </w:r>
          <w:r w:rsidR="00C760C5" w:rsidRPr="00411842">
            <w:rPr>
              <w:lang w:val="en-GB"/>
            </w:rPr>
            <w:t xml:space="preserve">bring us ‘Vision Zero’. In </w:t>
          </w:r>
          <w:r w:rsidR="003D3144" w:rsidRPr="00411842">
            <w:rPr>
              <w:lang w:val="en-GB"/>
            </w:rPr>
            <w:t>fact,</w:t>
          </w:r>
          <w:r w:rsidR="00C760C5" w:rsidRPr="00411842">
            <w:rPr>
              <w:lang w:val="en-GB"/>
            </w:rPr>
            <w:t xml:space="preserve"> there is the possibility that they could even hinder the achievement of this target</w:t>
          </w:r>
          <w:r w:rsidR="002436DF" w:rsidRPr="00411842">
            <w:rPr>
              <w:lang w:val="en-GB"/>
            </w:rPr>
            <w:t>. Distraction within the can be a problem, but even more serious can be</w:t>
          </w:r>
          <w:r w:rsidR="00DE3C9F" w:rsidRPr="00411842">
            <w:rPr>
              <w:lang w:val="en-GB"/>
            </w:rPr>
            <w:t xml:space="preserve"> an over reliance of ADAS systems and</w:t>
          </w:r>
          <w:r w:rsidR="009245AF" w:rsidRPr="00411842">
            <w:rPr>
              <w:lang w:val="en-GB"/>
            </w:rPr>
            <w:t xml:space="preserve"> bringing the driver bac</w:t>
          </w:r>
          <w:r w:rsidR="00DE3C9F" w:rsidRPr="00411842">
            <w:rPr>
              <w:lang w:val="en-GB"/>
            </w:rPr>
            <w:t xml:space="preserve">k to the driving task </w:t>
          </w:r>
          <w:r w:rsidR="009245AF" w:rsidRPr="00411842">
            <w:rPr>
              <w:lang w:val="en-GB"/>
            </w:rPr>
            <w:t>in a problematic driving task.</w:t>
          </w:r>
        </w:p>
        <w:p w14:paraId="514B1521" w14:textId="77777777" w:rsidR="00B20507" w:rsidRPr="00411842" w:rsidRDefault="00B20507" w:rsidP="002707DF">
          <w:pPr>
            <w:pStyle w:val="Paragraphtext"/>
            <w:rPr>
              <w:lang w:val="en-GB"/>
            </w:rPr>
          </w:pPr>
        </w:p>
        <w:p w14:paraId="6566191B" w14:textId="5510F9B7" w:rsidR="002707DF" w:rsidRPr="004F1A0D" w:rsidRDefault="002707DF" w:rsidP="002707DF">
          <w:pPr>
            <w:pStyle w:val="Paragraphtext"/>
            <w:rPr>
              <w:i/>
              <w:iCs/>
              <w:u w:val="single"/>
              <w:lang w:val="en-GB"/>
            </w:rPr>
          </w:pPr>
          <w:r w:rsidRPr="004F1A0D">
            <w:rPr>
              <w:i/>
              <w:iCs/>
              <w:u w:val="single"/>
              <w:lang w:val="en-GB"/>
            </w:rPr>
            <w:t>Recommendations</w:t>
          </w:r>
        </w:p>
        <w:p w14:paraId="0748B255" w14:textId="77777777" w:rsidR="00661DED" w:rsidRPr="002707DF" w:rsidRDefault="00661DED" w:rsidP="002707DF">
          <w:pPr>
            <w:pStyle w:val="Paragraphtext"/>
            <w:rPr>
              <w:lang w:val="en-GB"/>
            </w:rPr>
          </w:pPr>
        </w:p>
        <w:p w14:paraId="2F150CAB" w14:textId="26A9E4B8" w:rsidR="00CA58E9" w:rsidRPr="00411842" w:rsidRDefault="00CA58E9" w:rsidP="00DC6699">
          <w:pPr>
            <w:pStyle w:val="Paragraphtext"/>
            <w:numPr>
              <w:ilvl w:val="0"/>
              <w:numId w:val="8"/>
            </w:numPr>
            <w:rPr>
              <w:lang w:val="en-GB"/>
            </w:rPr>
          </w:pPr>
          <w:r w:rsidRPr="00411842">
            <w:rPr>
              <w:lang w:val="en-GB"/>
            </w:rPr>
            <w:t xml:space="preserve">The EU should recommend that autonomous vehicles </w:t>
          </w:r>
          <w:r w:rsidR="00872F55" w:rsidRPr="00411842">
            <w:rPr>
              <w:lang w:val="en-GB"/>
            </w:rPr>
            <w:t xml:space="preserve">are </w:t>
          </w:r>
          <w:r w:rsidRPr="00411842">
            <w:rPr>
              <w:lang w:val="en-GB"/>
            </w:rPr>
            <w:t>only allowed in cities if they are shared or public transport.</w:t>
          </w:r>
        </w:p>
        <w:p w14:paraId="18DE0C55" w14:textId="5C34BB27" w:rsidR="002707DF" w:rsidRPr="002707DF" w:rsidRDefault="002707DF" w:rsidP="00DC6699">
          <w:pPr>
            <w:pStyle w:val="Paragraphtext"/>
            <w:numPr>
              <w:ilvl w:val="0"/>
              <w:numId w:val="8"/>
            </w:numPr>
            <w:rPr>
              <w:lang w:val="en-GB"/>
            </w:rPr>
          </w:pPr>
          <w:r w:rsidRPr="002707DF">
            <w:rPr>
              <w:lang w:val="en-GB"/>
            </w:rPr>
            <w:t xml:space="preserve">Bring </w:t>
          </w:r>
          <w:r w:rsidR="00872F55" w:rsidRPr="00411842">
            <w:rPr>
              <w:lang w:val="en-GB"/>
            </w:rPr>
            <w:t>a</w:t>
          </w:r>
          <w:r w:rsidRPr="002707DF">
            <w:rPr>
              <w:lang w:val="en-GB"/>
            </w:rPr>
            <w:t>utonomous vehicles into the European Type Approval system so that they can function perfectly well on European roads, complying to all the necessary road rules and regulations.</w:t>
          </w:r>
        </w:p>
        <w:p w14:paraId="198BE575" w14:textId="77777777" w:rsidR="002707DF" w:rsidRPr="002707DF" w:rsidRDefault="002707DF" w:rsidP="00DC6699">
          <w:pPr>
            <w:pStyle w:val="Paragraphtext"/>
            <w:numPr>
              <w:ilvl w:val="0"/>
              <w:numId w:val="8"/>
            </w:numPr>
            <w:rPr>
              <w:lang w:val="en-GB"/>
            </w:rPr>
          </w:pPr>
          <w:r w:rsidRPr="002707DF">
            <w:rPr>
              <w:lang w:val="en-GB"/>
            </w:rPr>
            <w:t xml:space="preserve">Advanced Driver Systems (ADS) should be clearly regulated and understood for manufacturers, users, and public authorities. </w:t>
          </w:r>
        </w:p>
        <w:p w14:paraId="26EE8568" w14:textId="77777777" w:rsidR="002707DF" w:rsidRPr="002707DF" w:rsidRDefault="002707DF" w:rsidP="00DC6699">
          <w:pPr>
            <w:pStyle w:val="Paragraphtext"/>
            <w:numPr>
              <w:ilvl w:val="0"/>
              <w:numId w:val="8"/>
            </w:numPr>
            <w:rPr>
              <w:lang w:val="en-GB"/>
            </w:rPr>
          </w:pPr>
          <w:r w:rsidRPr="002707DF">
            <w:rPr>
              <w:lang w:val="en-GB"/>
            </w:rPr>
            <w:t xml:space="preserve">To make sure that the driver is not forgotten when regulating for AVs, and this is particularly important in semi-autonomous vehicles and all levels of autonomy up to and including stage 4. Distraction and handing back the driving task to the driver are essential components of providing safety regulations for AVs. This should also be linked to updates to the Driving licence Directive to make sure that drivers also understand their role and that of the vehicle. </w:t>
          </w:r>
        </w:p>
        <w:p w14:paraId="2780C0B2" w14:textId="77777777" w:rsidR="002707DF" w:rsidRPr="002707DF" w:rsidRDefault="002707DF" w:rsidP="00DC6699">
          <w:pPr>
            <w:pStyle w:val="Paragraphtext"/>
            <w:numPr>
              <w:ilvl w:val="0"/>
              <w:numId w:val="8"/>
            </w:numPr>
            <w:rPr>
              <w:lang w:val="en-GB"/>
            </w:rPr>
          </w:pPr>
          <w:r w:rsidRPr="002707DF">
            <w:rPr>
              <w:lang w:val="en-GB"/>
            </w:rPr>
            <w:t xml:space="preserve">In the same way that roads should be self-explanatory, autonomous and semi-autonomous vehicles should also be self-explanatory with regards to the tasks to be performed by driving. For the driver to know when and where he/she understands his/her role, it is important that those roles are clear-cut and obvious. </w:t>
          </w:r>
        </w:p>
        <w:p w14:paraId="116D454F" w14:textId="3FBE189B" w:rsidR="002707DF" w:rsidRPr="00411842" w:rsidRDefault="002707DF" w:rsidP="00DC6699">
          <w:pPr>
            <w:pStyle w:val="Paragraphtext"/>
            <w:numPr>
              <w:ilvl w:val="0"/>
              <w:numId w:val="8"/>
            </w:numPr>
            <w:rPr>
              <w:lang w:val="en-GB"/>
            </w:rPr>
          </w:pPr>
          <w:r w:rsidRPr="002707DF">
            <w:rPr>
              <w:lang w:val="en-GB"/>
            </w:rPr>
            <w:t xml:space="preserve">There is more to safety than safety! Even if a vehicle could driver at a faster speed and be safe within the defined parameters of the vehicles use, speed limits should always be respected. </w:t>
          </w:r>
          <w:r w:rsidR="00FC49F3" w:rsidRPr="00411842">
            <w:rPr>
              <w:lang w:val="en-GB"/>
            </w:rPr>
            <w:t>Likewise,</w:t>
          </w:r>
          <w:r w:rsidR="00087F3F" w:rsidRPr="00411842">
            <w:rPr>
              <w:lang w:val="en-GB"/>
            </w:rPr>
            <w:t xml:space="preserve"> autonomous vehicle “behaviours” should be regulated, a vehicle can conform to the law while also being very aggressive and a menace to cyclists and pedestrians</w:t>
          </w:r>
          <w:r w:rsidR="00FC49F3" w:rsidRPr="00411842">
            <w:rPr>
              <w:lang w:val="en-GB"/>
            </w:rPr>
            <w:t>.</w:t>
          </w:r>
        </w:p>
        <w:p w14:paraId="354A1602" w14:textId="7AC2D895" w:rsidR="002707DF" w:rsidRPr="00411842" w:rsidRDefault="00DD7320" w:rsidP="00DC6699">
          <w:pPr>
            <w:pStyle w:val="Paragraphtext"/>
            <w:numPr>
              <w:ilvl w:val="0"/>
              <w:numId w:val="8"/>
            </w:numPr>
            <w:rPr>
              <w:lang w:val="en-GB"/>
            </w:rPr>
          </w:pPr>
          <w:r w:rsidRPr="00411842">
            <w:rPr>
              <w:lang w:val="en-GB"/>
            </w:rPr>
            <w:t>The EU should be working on the ethical</w:t>
          </w:r>
          <w:r w:rsidR="00FC49F3" w:rsidRPr="00411842">
            <w:rPr>
              <w:lang w:val="en-GB"/>
            </w:rPr>
            <w:t xml:space="preserve"> issues</w:t>
          </w:r>
          <w:r w:rsidRPr="00411842">
            <w:rPr>
              <w:lang w:val="en-GB"/>
            </w:rPr>
            <w:t xml:space="preserve"> of crash avoidance</w:t>
          </w:r>
          <w:r w:rsidR="00FC49F3" w:rsidRPr="00411842">
            <w:rPr>
              <w:lang w:val="en-GB"/>
            </w:rPr>
            <w:t>.</w:t>
          </w:r>
        </w:p>
        <w:p w14:paraId="3DBF1379" w14:textId="79F8255B" w:rsidR="002707DF" w:rsidRPr="002707DF" w:rsidRDefault="00FC49F3" w:rsidP="00DC6699">
          <w:pPr>
            <w:pStyle w:val="Paragraphtext"/>
            <w:numPr>
              <w:ilvl w:val="0"/>
              <w:numId w:val="8"/>
            </w:numPr>
            <w:rPr>
              <w:lang w:val="en-GB"/>
            </w:rPr>
          </w:pPr>
          <w:r w:rsidRPr="00411842">
            <w:rPr>
              <w:lang w:val="en-GB"/>
            </w:rPr>
            <w:t xml:space="preserve">A general framework of when and how to use Avs should be developed, this should include only allowing Avs into urban areas if they are shared, ‘taxi’ or public transport vehicles. </w:t>
          </w:r>
        </w:p>
        <w:p w14:paraId="2808969B" w14:textId="77777777" w:rsidR="002707DF" w:rsidRPr="002707DF" w:rsidRDefault="002707DF" w:rsidP="002707DF">
          <w:pPr>
            <w:pStyle w:val="Paragraphtext"/>
            <w:rPr>
              <w:lang w:val="en-GB"/>
            </w:rPr>
          </w:pPr>
        </w:p>
        <w:p w14:paraId="6C8686E8" w14:textId="3D19E44B" w:rsidR="002707DF" w:rsidRPr="002707DF" w:rsidRDefault="009D7864" w:rsidP="00AE14CF">
          <w:pPr>
            <w:pStyle w:val="ECFboldtext"/>
          </w:pPr>
          <w:r w:rsidRPr="00411842">
            <w:t>Electrically Power Assisted Cycles (EPACs) regulation</w:t>
          </w:r>
        </w:p>
        <w:p w14:paraId="7FF260DF" w14:textId="77777777" w:rsidR="002707DF" w:rsidRPr="002707DF" w:rsidRDefault="002707DF" w:rsidP="002707DF">
          <w:pPr>
            <w:pStyle w:val="Paragraphtext"/>
            <w:rPr>
              <w:lang w:val="en-GB"/>
            </w:rPr>
          </w:pPr>
        </w:p>
        <w:p w14:paraId="358DD6B7" w14:textId="77777777" w:rsidR="00F239F0" w:rsidRDefault="00E267A0" w:rsidP="00F239F0">
          <w:pPr>
            <w:pStyle w:val="Paragraphtext"/>
            <w:rPr>
              <w:lang w:val="en-GB"/>
            </w:rPr>
          </w:pPr>
          <w:r w:rsidRPr="00411842">
            <w:rPr>
              <w:lang w:val="en-GB"/>
            </w:rPr>
            <w:t>EPACs (</w:t>
          </w:r>
          <w:r w:rsidR="00D72154" w:rsidRPr="00411842">
            <w:rPr>
              <w:lang w:val="en-GB"/>
            </w:rPr>
            <w:t>Electrically Power Assisted Cycles)</w:t>
          </w:r>
          <w:r w:rsidR="00B76C0F" w:rsidRPr="00411842">
            <w:rPr>
              <w:lang w:val="en-GB"/>
            </w:rPr>
            <w:t xml:space="preserve"> are electrically assisted bicycles that give a modest boost to assist riders up hills or winds. An EPAC’s electric motor assists the cyclist but will only work with </w:t>
          </w:r>
          <w:r w:rsidR="00695F29" w:rsidRPr="00411842">
            <w:rPr>
              <w:lang w:val="en-GB"/>
            </w:rPr>
            <w:t>pedalling,</w:t>
          </w:r>
          <w:r w:rsidR="00B76C0F" w:rsidRPr="00411842">
            <w:rPr>
              <w:lang w:val="en-GB"/>
            </w:rPr>
            <w:t xml:space="preserve"> no pedal, no power. ECF sees these bikes as a vital addition to the </w:t>
          </w:r>
          <w:r w:rsidR="000F25D9" w:rsidRPr="00411842">
            <w:rPr>
              <w:lang w:val="en-GB"/>
            </w:rPr>
            <w:t xml:space="preserve">cycling fleet of vehicles. </w:t>
          </w:r>
          <w:r w:rsidR="00004AF1" w:rsidRPr="00411842">
            <w:rPr>
              <w:lang w:val="en-GB"/>
            </w:rPr>
            <w:t>It is an active mode of transport that contribute to health and the environmental goals of the EU, the power assist is designed to complement not replace the main propulsion, which is generated by human muscle power through manual pedalling</w:t>
          </w:r>
          <w:r w:rsidR="004A2FCC" w:rsidRPr="00411842">
            <w:rPr>
              <w:lang w:val="en-GB"/>
            </w:rPr>
            <w:t>. The maximum speed is 25 km/h before the motor cuts out, and a top maximum continuous rated power of 250 watts</w:t>
          </w:r>
          <w:r w:rsidR="00F1767B" w:rsidRPr="00411842">
            <w:rPr>
              <w:lang w:val="en-GB"/>
            </w:rPr>
            <w:t xml:space="preserve">. </w:t>
          </w:r>
        </w:p>
        <w:p w14:paraId="5F62BC01" w14:textId="77777777" w:rsidR="00F239F0" w:rsidRDefault="00F239F0" w:rsidP="00F239F0">
          <w:pPr>
            <w:pStyle w:val="Paragraphtext"/>
            <w:rPr>
              <w:lang w:val="en-GB"/>
            </w:rPr>
          </w:pPr>
        </w:p>
        <w:p w14:paraId="11BD76B2" w14:textId="77DDFD14" w:rsidR="00F239F0" w:rsidRDefault="00182E0B" w:rsidP="00F239F0">
          <w:pPr>
            <w:pStyle w:val="Paragraphtext"/>
          </w:pPr>
          <w:r w:rsidRPr="00182E0B">
            <w:t>An estimated 5.1 million e-bikes were sold in the EU-27 in 2020, bringing total stock to about 20 million e-bikes in the EU.</w:t>
          </w:r>
          <w:r w:rsidRPr="00182E0B">
            <w:rPr>
              <w:vertAlign w:val="superscript"/>
            </w:rPr>
            <w:footnoteReference w:id="14"/>
          </w:r>
          <w:r w:rsidRPr="00182E0B">
            <w:t xml:space="preserve"> The European bicycle industry forecasts strong growing demand for e-bikes over the next decade and will reach annual sales of 17 million units in 2030.</w:t>
          </w:r>
          <w:r w:rsidRPr="00182E0B">
            <w:rPr>
              <w:vertAlign w:val="superscript"/>
            </w:rPr>
            <w:footnoteReference w:id="15"/>
          </w:r>
          <w:r w:rsidRPr="00182E0B">
            <w:t xml:space="preserve"> </w:t>
          </w:r>
          <w:r w:rsidR="00F239F0" w:rsidRPr="00F519F9">
            <w:t xml:space="preserve">E-bikes also represent a growing share of annual bicycle sales. About 25 % of all bicycles sold in the EU in 2020 were e-bikes; in the </w:t>
          </w:r>
          <w:r w:rsidR="00F239F0" w:rsidRPr="00F519F9">
            <w:lastRenderedPageBreak/>
            <w:t>Netherlands and in Belgium, the share is already as high as 50 %.</w:t>
          </w:r>
          <w:r w:rsidR="00F239F0" w:rsidRPr="00F519F9">
            <w:rPr>
              <w:vertAlign w:val="superscript"/>
            </w:rPr>
            <w:footnoteReference w:id="16"/>
          </w:r>
          <w:r w:rsidR="00F239F0" w:rsidRPr="00F519F9">
            <w:t xml:space="preserve"> In Germany, the largest market for bicycles in the EU, the e-bike share in 2020 was 38.7 %.</w:t>
          </w:r>
          <w:r w:rsidR="00F239F0" w:rsidRPr="00F519F9">
            <w:rPr>
              <w:vertAlign w:val="superscript"/>
            </w:rPr>
            <w:footnoteReference w:id="17"/>
          </w:r>
          <w:r w:rsidR="00F239F0" w:rsidRPr="00F519F9">
            <w:t xml:space="preserve"> </w:t>
          </w:r>
        </w:p>
        <w:p w14:paraId="1A42ED57" w14:textId="77777777" w:rsidR="00470BA4" w:rsidRDefault="00470BA4" w:rsidP="00F239F0">
          <w:pPr>
            <w:pStyle w:val="Paragraphtext"/>
          </w:pPr>
        </w:p>
        <w:p w14:paraId="6ED06A01" w14:textId="3C30B184" w:rsidR="003C14E8" w:rsidRPr="00411842" w:rsidRDefault="003C14E8" w:rsidP="002707DF">
          <w:pPr>
            <w:pStyle w:val="Paragraphtext"/>
            <w:rPr>
              <w:lang w:val="en-GB"/>
            </w:rPr>
          </w:pPr>
          <w:r w:rsidRPr="00411842">
            <w:rPr>
              <w:lang w:val="en-GB"/>
            </w:rPr>
            <w:t>EPACs have a huge potential for substituting short, and middle distance, motor vehicle journeys</w:t>
          </w:r>
          <w:r w:rsidRPr="00411842">
            <w:rPr>
              <w:rStyle w:val="Appelnotedebasdep"/>
              <w:lang w:val="en-GB"/>
            </w:rPr>
            <w:footnoteReference w:id="18"/>
          </w:r>
          <w:r w:rsidRPr="00411842">
            <w:rPr>
              <w:lang w:val="en-GB"/>
            </w:rPr>
            <w:t>. It has been shown around the EU that around half of all car journeys are under 5 - 7 km</w:t>
          </w:r>
          <w:r w:rsidRPr="00411842">
            <w:rPr>
              <w:rStyle w:val="Appelnotedebasdep"/>
              <w:lang w:val="en-GB"/>
            </w:rPr>
            <w:footnoteReference w:id="19"/>
          </w:r>
          <w:r w:rsidRPr="00411842">
            <w:rPr>
              <w:lang w:val="en-GB"/>
            </w:rPr>
            <w:t xml:space="preserve">. These journeys are traditionally at the outer limit of bicycle/car </w:t>
          </w:r>
          <w:r w:rsidR="00695F29" w:rsidRPr="00411842">
            <w:rPr>
              <w:lang w:val="en-GB"/>
            </w:rPr>
            <w:t>substitution;</w:t>
          </w:r>
          <w:r w:rsidRPr="00411842">
            <w:rPr>
              <w:lang w:val="en-GB"/>
            </w:rPr>
            <w:t xml:space="preserve"> </w:t>
          </w:r>
          <w:r w:rsidR="00695F29" w:rsidRPr="00411842">
            <w:rPr>
              <w:lang w:val="en-GB"/>
            </w:rPr>
            <w:t>however,</w:t>
          </w:r>
          <w:r w:rsidRPr="00411842">
            <w:rPr>
              <w:lang w:val="en-GB"/>
            </w:rPr>
            <w:t xml:space="preserve"> it is very easily within range of electric assisted bicycles. ECF estimate that there is a potential of generating about 103 billion extra km cycled on EPACs by 2030 through an increase in EPAC sales which would represent a 77% growth over current figures (134 billion km).</w:t>
          </w:r>
          <w:r w:rsidR="001338D6" w:rsidRPr="00411842">
            <w:rPr>
              <w:lang w:val="en-GB"/>
            </w:rPr>
            <w:t xml:space="preserve"> CONEBI (the Confederation of the European Bicycle Industry) think that around 12 million units will be sold in 2030 in the EU, we anticipate an EU EPAC stock of around 62 million bikes by 2030. Germany, The Netherlands, France and Belgium are leading the way in EPAC sales, with Germany the highest at 1 360 000 EPAC sales</w:t>
          </w:r>
          <w:r w:rsidR="001338D6" w:rsidRPr="00411842">
            <w:rPr>
              <w:rStyle w:val="Appelnotedebasdep"/>
              <w:lang w:val="en-GB"/>
            </w:rPr>
            <w:footnoteReference w:id="20"/>
          </w:r>
          <w:r w:rsidR="001338D6" w:rsidRPr="00411842">
            <w:rPr>
              <w:lang w:val="en-GB"/>
            </w:rPr>
            <w:t xml:space="preserve">. These are part of the future of cycling in the EU. </w:t>
          </w:r>
        </w:p>
        <w:p w14:paraId="55E0521D" w14:textId="77777777" w:rsidR="003C14E8" w:rsidRPr="00411842" w:rsidRDefault="003C14E8" w:rsidP="002707DF">
          <w:pPr>
            <w:pStyle w:val="Paragraphtext"/>
            <w:rPr>
              <w:lang w:val="en-GB"/>
            </w:rPr>
          </w:pPr>
        </w:p>
        <w:p w14:paraId="5922D6E8" w14:textId="07C809E2" w:rsidR="009245AF" w:rsidRPr="00411842" w:rsidRDefault="00F1767B" w:rsidP="002707DF">
          <w:pPr>
            <w:pStyle w:val="Paragraphtext"/>
            <w:rPr>
              <w:lang w:val="en-GB"/>
            </w:rPr>
          </w:pPr>
          <w:r w:rsidRPr="00411842">
            <w:rPr>
              <w:lang w:val="en-GB"/>
            </w:rPr>
            <w:t>EPACs technical regulations come through the bicycle working group TC333 in the standardisation bodies CEN, not through type approval</w:t>
          </w:r>
          <w:r w:rsidRPr="00411842">
            <w:rPr>
              <w:rStyle w:val="Appelnotedebasdep"/>
              <w:lang w:val="en-GB"/>
            </w:rPr>
            <w:footnoteReference w:id="21"/>
          </w:r>
          <w:r w:rsidRPr="00411842">
            <w:rPr>
              <w:lang w:val="en-GB"/>
            </w:rPr>
            <w:t>. This means that they are also covered by the EU Machinery Directive for its electronic components</w:t>
          </w:r>
          <w:r w:rsidR="00CB39CF" w:rsidRPr="00411842">
            <w:rPr>
              <w:lang w:val="en-GB"/>
            </w:rPr>
            <w:t>. All Member States</w:t>
          </w:r>
          <w:r w:rsidR="00CB39CF" w:rsidRPr="00411842">
            <w:rPr>
              <w:vertAlign w:val="superscript"/>
              <w:lang w:val="en-GB"/>
            </w:rPr>
            <w:footnoteReference w:id="22"/>
          </w:r>
          <w:r w:rsidR="00CB39CF" w:rsidRPr="00411842">
            <w:rPr>
              <w:lang w:val="en-GB"/>
            </w:rPr>
            <w:t xml:space="preserve"> treat EPACs as bicycles with regards to use on the roads, they can use cycle infrastructure, they do not require mandatory helmet use (unless the bicycle requires it), they do not require license, compulsory </w:t>
          </w:r>
          <w:r w:rsidR="00695F29" w:rsidRPr="00411842">
            <w:rPr>
              <w:lang w:val="en-GB"/>
            </w:rPr>
            <w:t>insurance,</w:t>
          </w:r>
          <w:r w:rsidR="00CB39CF" w:rsidRPr="00411842">
            <w:rPr>
              <w:lang w:val="en-GB"/>
            </w:rPr>
            <w:t xml:space="preserve"> or number plate</w:t>
          </w:r>
          <w:r w:rsidR="002A21B3" w:rsidRPr="00411842">
            <w:rPr>
              <w:lang w:val="en-GB"/>
            </w:rPr>
            <w:t xml:space="preserve">. </w:t>
          </w:r>
        </w:p>
        <w:p w14:paraId="4256969B" w14:textId="1F5C76A6" w:rsidR="002A21B3" w:rsidRPr="00411842" w:rsidRDefault="002A21B3" w:rsidP="002707DF">
          <w:pPr>
            <w:pStyle w:val="Paragraphtext"/>
            <w:rPr>
              <w:lang w:val="en-GB"/>
            </w:rPr>
          </w:pPr>
        </w:p>
        <w:p w14:paraId="39407F0B" w14:textId="0DA21E63" w:rsidR="002A21B3" w:rsidRPr="00411842" w:rsidRDefault="002A21B3" w:rsidP="002707DF">
          <w:pPr>
            <w:pStyle w:val="Paragraphtext"/>
            <w:rPr>
              <w:szCs w:val="24"/>
              <w:lang w:val="en-GB"/>
            </w:rPr>
          </w:pPr>
          <w:r w:rsidRPr="00411842">
            <w:rPr>
              <w:lang w:val="en-GB"/>
            </w:rPr>
            <w:t>EPACs safety characteristics are very similar to that of a bicyc</w:t>
          </w:r>
          <w:r w:rsidR="005262ED" w:rsidRPr="00411842">
            <w:rPr>
              <w:lang w:val="en-GB"/>
            </w:rPr>
            <w:t>le</w:t>
          </w:r>
          <w:r w:rsidR="00B13EE3" w:rsidRPr="00411842">
            <w:rPr>
              <w:rStyle w:val="Appelnotedebasdep"/>
              <w:lang w:val="en-GB"/>
            </w:rPr>
            <w:footnoteReference w:id="23"/>
          </w:r>
          <w:r w:rsidR="005262ED" w:rsidRPr="00411842">
            <w:rPr>
              <w:lang w:val="en-GB"/>
            </w:rPr>
            <w:t xml:space="preserve">, </w:t>
          </w:r>
          <w:r w:rsidR="00E00040" w:rsidRPr="00411842">
            <w:rPr>
              <w:lang w:val="en-GB"/>
            </w:rPr>
            <w:t xml:space="preserve">with similar risks, </w:t>
          </w:r>
          <w:r w:rsidR="005262ED" w:rsidRPr="00411842">
            <w:rPr>
              <w:lang w:val="en-GB"/>
            </w:rPr>
            <w:t xml:space="preserve">except with an increased risk to elderly riders, </w:t>
          </w:r>
          <w:r w:rsidR="006764DB">
            <w:rPr>
              <w:lang w:val="en-GB"/>
            </w:rPr>
            <w:t>often</w:t>
          </w:r>
          <w:r w:rsidR="005262ED" w:rsidRPr="00411842">
            <w:rPr>
              <w:lang w:val="en-GB"/>
            </w:rPr>
            <w:t xml:space="preserve"> through mounting and dismounting issues. </w:t>
          </w:r>
          <w:r w:rsidR="00422169" w:rsidRPr="00411842">
            <w:rPr>
              <w:lang w:val="en-GB"/>
            </w:rPr>
            <w:t xml:space="preserve">With regards to EPACs third party crash data (EPACS crashing with other road users), there is data from Germany on the impacts of EPAC and motor vehicle crashes on pedestrian injuries and fatalities. </w:t>
          </w:r>
          <w:r w:rsidR="00422169" w:rsidRPr="00411842">
            <w:rPr>
              <w:szCs w:val="24"/>
              <w:lang w:val="en-GB"/>
            </w:rPr>
            <w:t>The table below</w:t>
          </w:r>
          <w:r w:rsidR="00422169" w:rsidRPr="00411842">
            <w:rPr>
              <w:rStyle w:val="Appelnotedebasdep"/>
              <w:lang w:val="en-GB"/>
            </w:rPr>
            <w:footnoteReference w:id="24"/>
          </w:r>
          <w:r w:rsidR="00422169" w:rsidRPr="00411842">
            <w:rPr>
              <w:szCs w:val="24"/>
              <w:lang w:val="en-GB"/>
            </w:rPr>
            <w:t xml:space="preserve"> shows the EPAC and motor vehicle crash </w:t>
          </w:r>
          <w:r w:rsidR="008226CC">
            <w:rPr>
              <w:szCs w:val="24"/>
              <w:lang w:val="en-GB"/>
            </w:rPr>
            <w:t xml:space="preserve">fatality </w:t>
          </w:r>
          <w:r w:rsidR="00422169" w:rsidRPr="00411842">
            <w:rPr>
              <w:szCs w:val="24"/>
              <w:lang w:val="en-GB"/>
            </w:rPr>
            <w:t>figures with pedestrians in Germany for 2016</w:t>
          </w:r>
          <w:r w:rsidR="00B916E1" w:rsidRPr="00411842">
            <w:rPr>
              <w:szCs w:val="24"/>
              <w:lang w:val="en-GB"/>
            </w:rPr>
            <w:t>.</w:t>
          </w:r>
          <w:r w:rsidR="007A10E6" w:rsidRPr="00411842">
            <w:rPr>
              <w:szCs w:val="24"/>
              <w:lang w:val="en-GB"/>
            </w:rPr>
            <w:t xml:space="preserve"> It also gives an approximation of exposure by estimating the number of vehicles in use since km/time travelled is not </w:t>
          </w:r>
          <w:r w:rsidR="007A10E6" w:rsidRPr="00411842">
            <w:rPr>
              <w:szCs w:val="24"/>
              <w:lang w:val="en-GB"/>
            </w:rPr>
            <w:lastRenderedPageBreak/>
            <w:t>available</w:t>
          </w:r>
          <w:r w:rsidR="007A10E6" w:rsidRPr="00411842">
            <w:rPr>
              <w:rStyle w:val="Appelnotedebasdep"/>
              <w:szCs w:val="24"/>
              <w:lang w:val="en-GB"/>
            </w:rPr>
            <w:footnoteReference w:id="25"/>
          </w:r>
          <w:r w:rsidR="007A10E6" w:rsidRPr="00411842">
            <w:rPr>
              <w:szCs w:val="24"/>
              <w:lang w:val="en-GB"/>
            </w:rPr>
            <w:t>.</w:t>
          </w:r>
          <w:r w:rsidR="008226CC">
            <w:rPr>
              <w:szCs w:val="24"/>
              <w:lang w:val="en-GB"/>
            </w:rPr>
            <w:t xml:space="preserve"> In conclusion, EPACs are not a dangerous mode of transport</w:t>
          </w:r>
          <w:r w:rsidR="0019326F">
            <w:rPr>
              <w:szCs w:val="24"/>
              <w:lang w:val="en-GB"/>
            </w:rPr>
            <w:t xml:space="preserve">, rather, just like bicycles they can be a road safety tool by shifting </w:t>
          </w:r>
          <w:r w:rsidR="007A4784">
            <w:rPr>
              <w:szCs w:val="24"/>
              <w:lang w:val="en-GB"/>
            </w:rPr>
            <w:t xml:space="preserve">people from 1,5 ton, 200 horsepower </w:t>
          </w:r>
          <w:r w:rsidR="00343E0F">
            <w:rPr>
              <w:szCs w:val="24"/>
              <w:lang w:val="en-GB"/>
            </w:rPr>
            <w:t>vehicles to cycling or eBiking.</w:t>
          </w:r>
        </w:p>
        <w:p w14:paraId="7C2CE47B" w14:textId="06DB8B64" w:rsidR="00B916E1" w:rsidRDefault="00B916E1" w:rsidP="002707DF">
          <w:pPr>
            <w:pStyle w:val="Paragraphtext"/>
            <w:rPr>
              <w:szCs w:val="24"/>
              <w:lang w:val="en-GB"/>
            </w:rPr>
          </w:pPr>
        </w:p>
        <w:p w14:paraId="18F2AA88" w14:textId="77777777" w:rsidR="00371DF2" w:rsidRPr="00411842" w:rsidRDefault="00371DF2" w:rsidP="002707DF">
          <w:pPr>
            <w:pStyle w:val="Paragraphtext"/>
            <w:rPr>
              <w:szCs w:val="24"/>
              <w:lang w:val="en-GB"/>
            </w:rPr>
          </w:pPr>
        </w:p>
        <w:tbl>
          <w:tblPr>
            <w:tblStyle w:val="Grilledutableau"/>
            <w:tblpPr w:leftFromText="180" w:rightFromText="180" w:vertAnchor="text" w:tblpY="1"/>
            <w:tblOverlap w:val="nev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1617"/>
            <w:gridCol w:w="1515"/>
            <w:gridCol w:w="1515"/>
            <w:gridCol w:w="2081"/>
            <w:gridCol w:w="1505"/>
          </w:tblGrid>
          <w:tr w:rsidR="00B916E1" w:rsidRPr="00411842" w14:paraId="2DAA55ED" w14:textId="77777777" w:rsidTr="006F3BB6">
            <w:trPr>
              <w:gridAfter w:val="4"/>
              <w:wAfter w:w="6616" w:type="dxa"/>
              <w:trHeight w:val="540"/>
            </w:trPr>
            <w:tc>
              <w:tcPr>
                <w:tcW w:w="3160" w:type="dxa"/>
                <w:gridSpan w:val="2"/>
                <w:tcBorders>
                  <w:top w:val="single" w:sz="4" w:space="0" w:color="auto"/>
                  <w:left w:val="single" w:sz="4" w:space="0" w:color="auto"/>
                  <w:bottom w:val="single" w:sz="4" w:space="0" w:color="auto"/>
                  <w:right w:val="single" w:sz="4" w:space="0" w:color="auto"/>
                </w:tcBorders>
                <w:noWrap/>
                <w:hideMark/>
              </w:tcPr>
              <w:p w14:paraId="2A6CDEC1" w14:textId="77777777" w:rsidR="00B916E1" w:rsidRPr="00411842" w:rsidRDefault="00B916E1" w:rsidP="006F3BB6">
                <w:pPr>
                  <w:pStyle w:val="Paragraphtext"/>
                  <w:rPr>
                    <w:szCs w:val="24"/>
                    <w:lang w:val="en-GB"/>
                  </w:rPr>
                </w:pPr>
                <w:r w:rsidRPr="00411842">
                  <w:rPr>
                    <w:szCs w:val="24"/>
                    <w:lang w:val="en-GB"/>
                  </w:rPr>
                  <w:t>Accidents involving two parties in Germany in 2016, of which:</w:t>
                </w:r>
              </w:p>
            </w:tc>
          </w:tr>
          <w:tr w:rsidR="00B916E1" w:rsidRPr="00411842" w14:paraId="6D68682D" w14:textId="77777777" w:rsidTr="006F3BB6">
            <w:trPr>
              <w:trHeight w:val="510"/>
            </w:trPr>
            <w:tc>
              <w:tcPr>
                <w:tcW w:w="1543" w:type="dxa"/>
                <w:tcBorders>
                  <w:top w:val="single" w:sz="4" w:space="0" w:color="auto"/>
                  <w:left w:val="single" w:sz="4" w:space="0" w:color="auto"/>
                  <w:bottom w:val="single" w:sz="4" w:space="0" w:color="auto"/>
                  <w:right w:val="single" w:sz="4" w:space="0" w:color="auto"/>
                </w:tcBorders>
                <w:noWrap/>
                <w:hideMark/>
              </w:tcPr>
              <w:p w14:paraId="7AAF2755" w14:textId="77777777" w:rsidR="00B916E1" w:rsidRPr="00411842" w:rsidRDefault="00B916E1" w:rsidP="006F3BB6">
                <w:pPr>
                  <w:pStyle w:val="Paragraphtext"/>
                  <w:rPr>
                    <w:b/>
                    <w:szCs w:val="24"/>
                    <w:lang w:val="en-GB"/>
                  </w:rPr>
                </w:pPr>
                <w:r w:rsidRPr="00411842">
                  <w:rPr>
                    <w:b/>
                    <w:szCs w:val="24"/>
                    <w:lang w:val="en-GB"/>
                  </w:rPr>
                  <w:t>Principal party</w:t>
                </w:r>
              </w:p>
            </w:tc>
            <w:tc>
              <w:tcPr>
                <w:tcW w:w="1617" w:type="dxa"/>
                <w:tcBorders>
                  <w:top w:val="single" w:sz="4" w:space="0" w:color="auto"/>
                  <w:left w:val="single" w:sz="4" w:space="0" w:color="auto"/>
                  <w:bottom w:val="single" w:sz="4" w:space="0" w:color="auto"/>
                  <w:right w:val="single" w:sz="4" w:space="0" w:color="auto"/>
                </w:tcBorders>
                <w:noWrap/>
                <w:hideMark/>
              </w:tcPr>
              <w:p w14:paraId="2C84D799" w14:textId="77777777" w:rsidR="00B916E1" w:rsidRPr="00411842" w:rsidRDefault="00B916E1" w:rsidP="006F3BB6">
                <w:pPr>
                  <w:pStyle w:val="Paragraphtext"/>
                  <w:rPr>
                    <w:b/>
                    <w:szCs w:val="24"/>
                    <w:lang w:val="en-GB"/>
                  </w:rPr>
                </w:pPr>
                <w:r w:rsidRPr="00411842">
                  <w:rPr>
                    <w:b/>
                    <w:szCs w:val="24"/>
                    <w:lang w:val="en-GB"/>
                  </w:rPr>
                  <w:t>Other party</w:t>
                </w:r>
              </w:p>
            </w:tc>
            <w:tc>
              <w:tcPr>
                <w:tcW w:w="1515" w:type="dxa"/>
                <w:tcBorders>
                  <w:top w:val="single" w:sz="4" w:space="0" w:color="auto"/>
                  <w:left w:val="single" w:sz="4" w:space="0" w:color="auto"/>
                  <w:bottom w:val="single" w:sz="4" w:space="0" w:color="auto"/>
                  <w:right w:val="single" w:sz="4" w:space="0" w:color="auto"/>
                </w:tcBorders>
                <w:noWrap/>
                <w:hideMark/>
              </w:tcPr>
              <w:p w14:paraId="7F4FDBD3" w14:textId="77777777" w:rsidR="00B916E1" w:rsidRPr="00411842" w:rsidRDefault="00B916E1" w:rsidP="006F3BB6">
                <w:pPr>
                  <w:pStyle w:val="Paragraphtext"/>
                  <w:rPr>
                    <w:b/>
                    <w:szCs w:val="24"/>
                    <w:lang w:val="en-GB"/>
                  </w:rPr>
                </w:pPr>
                <w:r w:rsidRPr="00411842">
                  <w:rPr>
                    <w:b/>
                    <w:szCs w:val="24"/>
                    <w:lang w:val="en-GB"/>
                  </w:rPr>
                  <w:t>Pedestrian Killed</w:t>
                </w:r>
              </w:p>
            </w:tc>
            <w:tc>
              <w:tcPr>
                <w:tcW w:w="1515" w:type="dxa"/>
                <w:tcBorders>
                  <w:top w:val="single" w:sz="4" w:space="0" w:color="auto"/>
                  <w:left w:val="single" w:sz="4" w:space="0" w:color="auto"/>
                  <w:bottom w:val="single" w:sz="4" w:space="0" w:color="auto"/>
                  <w:right w:val="single" w:sz="4" w:space="0" w:color="auto"/>
                </w:tcBorders>
                <w:hideMark/>
              </w:tcPr>
              <w:p w14:paraId="35B1264A" w14:textId="77777777" w:rsidR="00B916E1" w:rsidRPr="00411842" w:rsidRDefault="00B916E1" w:rsidP="006F3BB6">
                <w:pPr>
                  <w:pStyle w:val="Paragraphtext"/>
                  <w:rPr>
                    <w:b/>
                    <w:szCs w:val="24"/>
                    <w:lang w:val="en-GB"/>
                  </w:rPr>
                </w:pPr>
                <w:r w:rsidRPr="00411842">
                  <w:rPr>
                    <w:b/>
                    <w:szCs w:val="24"/>
                    <w:lang w:val="en-GB"/>
                  </w:rPr>
                  <w:t>Pedestrian Seriously Injured</w:t>
                </w:r>
              </w:p>
            </w:tc>
            <w:tc>
              <w:tcPr>
                <w:tcW w:w="2081" w:type="dxa"/>
                <w:tcBorders>
                  <w:top w:val="single" w:sz="4" w:space="0" w:color="auto"/>
                  <w:left w:val="single" w:sz="4" w:space="0" w:color="auto"/>
                  <w:bottom w:val="single" w:sz="4" w:space="0" w:color="auto"/>
                  <w:right w:val="single" w:sz="4" w:space="0" w:color="auto"/>
                </w:tcBorders>
                <w:hideMark/>
              </w:tcPr>
              <w:p w14:paraId="6816A971" w14:textId="77777777" w:rsidR="00B916E1" w:rsidRPr="00411842" w:rsidRDefault="00B916E1" w:rsidP="006F3BB6">
                <w:pPr>
                  <w:pStyle w:val="Paragraphtext"/>
                  <w:jc w:val="left"/>
                  <w:rPr>
                    <w:b/>
                    <w:szCs w:val="24"/>
                    <w:lang w:val="en-GB"/>
                  </w:rPr>
                </w:pPr>
                <w:r w:rsidRPr="00411842">
                  <w:rPr>
                    <w:b/>
                    <w:szCs w:val="24"/>
                    <w:lang w:val="en-GB"/>
                  </w:rPr>
                  <w:t>Estimated vehicle population</w:t>
                </w:r>
              </w:p>
            </w:tc>
            <w:tc>
              <w:tcPr>
                <w:tcW w:w="1505" w:type="dxa"/>
                <w:tcBorders>
                  <w:top w:val="single" w:sz="4" w:space="0" w:color="auto"/>
                  <w:bottom w:val="single" w:sz="4" w:space="0" w:color="auto"/>
                  <w:right w:val="single" w:sz="4" w:space="0" w:color="auto"/>
                </w:tcBorders>
              </w:tcPr>
              <w:p w14:paraId="486F359B" w14:textId="77777777" w:rsidR="00B916E1" w:rsidRPr="00411842" w:rsidRDefault="00B916E1" w:rsidP="006F3BB6">
                <w:pPr>
                  <w:pStyle w:val="Paragraphtext"/>
                  <w:jc w:val="left"/>
                  <w:rPr>
                    <w:b/>
                    <w:color w:val="FF0000"/>
                    <w:szCs w:val="24"/>
                    <w:lang w:val="en-GB"/>
                  </w:rPr>
                </w:pPr>
                <w:r w:rsidRPr="00411842">
                  <w:rPr>
                    <w:b/>
                    <w:color w:val="FF0000"/>
                    <w:szCs w:val="24"/>
                    <w:lang w:val="en-GB"/>
                  </w:rPr>
                  <w:t>Pedestrian risk per vehicle</w:t>
                </w:r>
              </w:p>
            </w:tc>
          </w:tr>
          <w:tr w:rsidR="00B916E1" w:rsidRPr="00411842" w14:paraId="2EEC1666" w14:textId="77777777" w:rsidTr="006F3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43" w:type="dxa"/>
                <w:tcBorders>
                  <w:left w:val="single" w:sz="4" w:space="0" w:color="auto"/>
                </w:tcBorders>
                <w:noWrap/>
              </w:tcPr>
              <w:p w14:paraId="597183A0" w14:textId="77777777" w:rsidR="00B916E1" w:rsidRPr="00411842" w:rsidRDefault="00B916E1" w:rsidP="006F3BB6">
                <w:pPr>
                  <w:pStyle w:val="Paragraphtext"/>
                  <w:rPr>
                    <w:szCs w:val="24"/>
                    <w:lang w:val="en-GB"/>
                  </w:rPr>
                </w:pPr>
                <w:r w:rsidRPr="00411842">
                  <w:rPr>
                    <w:szCs w:val="24"/>
                    <w:lang w:val="en-GB"/>
                  </w:rPr>
                  <w:t>EPAC</w:t>
                </w:r>
              </w:p>
            </w:tc>
            <w:tc>
              <w:tcPr>
                <w:tcW w:w="1617" w:type="dxa"/>
                <w:noWrap/>
              </w:tcPr>
              <w:p w14:paraId="72D385EF" w14:textId="77777777" w:rsidR="00B916E1" w:rsidRPr="00411842" w:rsidRDefault="00B916E1" w:rsidP="006F3BB6">
                <w:pPr>
                  <w:pStyle w:val="Paragraphtext"/>
                  <w:rPr>
                    <w:szCs w:val="24"/>
                    <w:lang w:val="en-GB"/>
                  </w:rPr>
                </w:pPr>
                <w:r w:rsidRPr="00411842">
                  <w:rPr>
                    <w:szCs w:val="24"/>
                    <w:lang w:val="en-GB"/>
                  </w:rPr>
                  <w:t>Pedestrian</w:t>
                </w:r>
              </w:p>
            </w:tc>
            <w:tc>
              <w:tcPr>
                <w:tcW w:w="1515" w:type="dxa"/>
                <w:noWrap/>
              </w:tcPr>
              <w:p w14:paraId="37C628D9" w14:textId="77777777" w:rsidR="00B916E1" w:rsidRPr="00411842" w:rsidRDefault="00B916E1" w:rsidP="006F3BB6">
                <w:pPr>
                  <w:pStyle w:val="Paragraphtext"/>
                  <w:rPr>
                    <w:szCs w:val="24"/>
                    <w:lang w:val="en-GB"/>
                  </w:rPr>
                </w:pPr>
                <w:r w:rsidRPr="00411842">
                  <w:rPr>
                    <w:szCs w:val="24"/>
                    <w:lang w:val="en-GB"/>
                  </w:rPr>
                  <w:t>0</w:t>
                </w:r>
              </w:p>
            </w:tc>
            <w:tc>
              <w:tcPr>
                <w:tcW w:w="1515" w:type="dxa"/>
                <w:noWrap/>
              </w:tcPr>
              <w:p w14:paraId="4819CC99" w14:textId="77777777" w:rsidR="00B916E1" w:rsidRPr="00411842" w:rsidRDefault="00B916E1" w:rsidP="006F3BB6">
                <w:pPr>
                  <w:pStyle w:val="Paragraphtext"/>
                  <w:rPr>
                    <w:szCs w:val="24"/>
                    <w:lang w:val="en-GB"/>
                  </w:rPr>
                </w:pPr>
                <w:r w:rsidRPr="00411842">
                  <w:rPr>
                    <w:szCs w:val="24"/>
                    <w:lang w:val="en-GB"/>
                  </w:rPr>
                  <w:t>11</w:t>
                </w:r>
              </w:p>
            </w:tc>
            <w:tc>
              <w:tcPr>
                <w:tcW w:w="2081" w:type="dxa"/>
                <w:tcBorders>
                  <w:right w:val="single" w:sz="4" w:space="0" w:color="auto"/>
                </w:tcBorders>
                <w:noWrap/>
              </w:tcPr>
              <w:p w14:paraId="20CAD32A" w14:textId="77777777" w:rsidR="00B916E1" w:rsidRPr="00411842" w:rsidRDefault="00B916E1" w:rsidP="006F3BB6">
                <w:pPr>
                  <w:pStyle w:val="Paragraphtext"/>
                  <w:rPr>
                    <w:szCs w:val="24"/>
                    <w:lang w:val="en-GB"/>
                  </w:rPr>
                </w:pPr>
                <w:r w:rsidRPr="00411842">
                  <w:rPr>
                    <w:szCs w:val="24"/>
                    <w:lang w:val="en-GB"/>
                  </w:rPr>
                  <w:t>3.000.000</w:t>
                </w:r>
              </w:p>
            </w:tc>
            <w:tc>
              <w:tcPr>
                <w:tcW w:w="1505" w:type="dxa"/>
              </w:tcPr>
              <w:p w14:paraId="2013B3F9" w14:textId="77777777" w:rsidR="00B916E1" w:rsidRPr="00411842" w:rsidRDefault="00B916E1" w:rsidP="006F3BB6">
                <w:pPr>
                  <w:pStyle w:val="Paragraphtext"/>
                  <w:rPr>
                    <w:color w:val="FF0000"/>
                    <w:szCs w:val="24"/>
                    <w:lang w:val="en-GB"/>
                  </w:rPr>
                </w:pPr>
                <w:r w:rsidRPr="00411842">
                  <w:rPr>
                    <w:color w:val="FF0000"/>
                    <w:szCs w:val="24"/>
                    <w:lang w:val="en-GB"/>
                  </w:rPr>
                  <w:t>1/272.727</w:t>
                </w:r>
              </w:p>
            </w:tc>
          </w:tr>
          <w:tr w:rsidR="00B916E1" w:rsidRPr="00411842" w14:paraId="258B2D40" w14:textId="77777777" w:rsidTr="006F3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43" w:type="dxa"/>
                <w:tcBorders>
                  <w:left w:val="single" w:sz="4" w:space="0" w:color="auto"/>
                </w:tcBorders>
                <w:noWrap/>
              </w:tcPr>
              <w:p w14:paraId="322410B6" w14:textId="77777777" w:rsidR="00B916E1" w:rsidRPr="00411842" w:rsidRDefault="00B916E1" w:rsidP="006F3BB6">
                <w:pPr>
                  <w:pStyle w:val="Paragraphtext"/>
                  <w:rPr>
                    <w:szCs w:val="24"/>
                    <w:lang w:val="en-GB"/>
                  </w:rPr>
                </w:pPr>
                <w:r w:rsidRPr="00411842">
                  <w:rPr>
                    <w:szCs w:val="24"/>
                    <w:lang w:val="en-GB"/>
                  </w:rPr>
                  <w:t>Motor car</w:t>
                </w:r>
              </w:p>
            </w:tc>
            <w:tc>
              <w:tcPr>
                <w:tcW w:w="1617" w:type="dxa"/>
                <w:noWrap/>
              </w:tcPr>
              <w:p w14:paraId="2CA1DECD" w14:textId="77777777" w:rsidR="00B916E1" w:rsidRPr="00411842" w:rsidRDefault="00B916E1" w:rsidP="006F3BB6">
                <w:pPr>
                  <w:pStyle w:val="Paragraphtext"/>
                  <w:rPr>
                    <w:szCs w:val="24"/>
                    <w:lang w:val="en-GB"/>
                  </w:rPr>
                </w:pPr>
                <w:r w:rsidRPr="00411842">
                  <w:rPr>
                    <w:szCs w:val="24"/>
                    <w:lang w:val="en-GB"/>
                  </w:rPr>
                  <w:t>Pedestrian</w:t>
                </w:r>
              </w:p>
            </w:tc>
            <w:tc>
              <w:tcPr>
                <w:tcW w:w="1515" w:type="dxa"/>
                <w:noWrap/>
              </w:tcPr>
              <w:p w14:paraId="58ED194A" w14:textId="77777777" w:rsidR="00B916E1" w:rsidRPr="00411842" w:rsidRDefault="00B916E1" w:rsidP="006F3BB6">
                <w:pPr>
                  <w:pStyle w:val="Paragraphtext"/>
                  <w:rPr>
                    <w:szCs w:val="24"/>
                    <w:lang w:val="en-GB"/>
                  </w:rPr>
                </w:pPr>
                <w:r w:rsidRPr="00411842">
                  <w:rPr>
                    <w:szCs w:val="24"/>
                    <w:lang w:val="en-GB"/>
                  </w:rPr>
                  <w:t>483</w:t>
                </w:r>
              </w:p>
            </w:tc>
            <w:tc>
              <w:tcPr>
                <w:tcW w:w="1515" w:type="dxa"/>
                <w:noWrap/>
              </w:tcPr>
              <w:p w14:paraId="1AF01C47" w14:textId="77777777" w:rsidR="00B916E1" w:rsidRPr="00411842" w:rsidRDefault="00B916E1" w:rsidP="006F3BB6">
                <w:pPr>
                  <w:pStyle w:val="Paragraphtext"/>
                  <w:rPr>
                    <w:szCs w:val="24"/>
                    <w:lang w:val="en-GB"/>
                  </w:rPr>
                </w:pPr>
                <w:r w:rsidRPr="00411842">
                  <w:rPr>
                    <w:szCs w:val="24"/>
                    <w:lang w:val="en-GB"/>
                  </w:rPr>
                  <w:t>7.163</w:t>
                </w:r>
              </w:p>
            </w:tc>
            <w:tc>
              <w:tcPr>
                <w:tcW w:w="2081" w:type="dxa"/>
                <w:tcBorders>
                  <w:right w:val="single" w:sz="4" w:space="0" w:color="auto"/>
                </w:tcBorders>
                <w:noWrap/>
              </w:tcPr>
              <w:p w14:paraId="087994F5" w14:textId="77777777" w:rsidR="00B916E1" w:rsidRPr="00411842" w:rsidRDefault="00B916E1" w:rsidP="006F3BB6">
                <w:pPr>
                  <w:pStyle w:val="Paragraphtext"/>
                  <w:rPr>
                    <w:szCs w:val="24"/>
                    <w:lang w:val="en-GB"/>
                  </w:rPr>
                </w:pPr>
                <w:r w:rsidRPr="00411842">
                  <w:rPr>
                    <w:szCs w:val="24"/>
                    <w:lang w:val="en-GB"/>
                  </w:rPr>
                  <w:t>44.000.000</w:t>
                </w:r>
              </w:p>
            </w:tc>
            <w:tc>
              <w:tcPr>
                <w:tcW w:w="1505" w:type="dxa"/>
              </w:tcPr>
              <w:p w14:paraId="3B542138" w14:textId="77777777" w:rsidR="00B916E1" w:rsidRPr="00411842" w:rsidRDefault="00B916E1" w:rsidP="006F3BB6">
                <w:pPr>
                  <w:pStyle w:val="Paragraphtext"/>
                  <w:rPr>
                    <w:color w:val="FF0000"/>
                    <w:szCs w:val="24"/>
                    <w:lang w:val="en-GB"/>
                  </w:rPr>
                </w:pPr>
                <w:r w:rsidRPr="00411842">
                  <w:rPr>
                    <w:color w:val="FF0000"/>
                    <w:szCs w:val="24"/>
                    <w:lang w:val="en-GB"/>
                  </w:rPr>
                  <w:t>1/5.754</w:t>
                </w:r>
              </w:p>
            </w:tc>
          </w:tr>
        </w:tbl>
        <w:p w14:paraId="7C9F2D74" w14:textId="77777777" w:rsidR="004A2FCC" w:rsidRPr="00411842" w:rsidRDefault="004A2FCC" w:rsidP="002707DF">
          <w:pPr>
            <w:pStyle w:val="Paragraphtext"/>
            <w:rPr>
              <w:lang w:val="en-GB"/>
            </w:rPr>
          </w:pPr>
        </w:p>
        <w:p w14:paraId="7D6D6AF7" w14:textId="77777777" w:rsidR="00501B7D" w:rsidRDefault="00501B7D" w:rsidP="002707DF">
          <w:pPr>
            <w:pStyle w:val="Paragraphtext"/>
            <w:rPr>
              <w:lang w:val="en-GB"/>
            </w:rPr>
          </w:pPr>
        </w:p>
        <w:p w14:paraId="42C3DEE1" w14:textId="77777777" w:rsidR="00501B7D" w:rsidRDefault="00501B7D" w:rsidP="002707DF">
          <w:pPr>
            <w:pStyle w:val="Paragraphtext"/>
            <w:rPr>
              <w:lang w:val="en-GB"/>
            </w:rPr>
          </w:pPr>
        </w:p>
        <w:p w14:paraId="107B4F1D" w14:textId="6F4A36E6" w:rsidR="002707DF" w:rsidRPr="004F1A0D" w:rsidRDefault="002707DF" w:rsidP="002707DF">
          <w:pPr>
            <w:pStyle w:val="Paragraphtext"/>
            <w:rPr>
              <w:i/>
              <w:iCs/>
              <w:u w:val="single"/>
              <w:lang w:val="en-GB"/>
            </w:rPr>
          </w:pPr>
          <w:r w:rsidRPr="004F1A0D">
            <w:rPr>
              <w:i/>
              <w:iCs/>
              <w:u w:val="single"/>
              <w:lang w:val="en-GB"/>
            </w:rPr>
            <w:t>Recommendations</w:t>
          </w:r>
        </w:p>
        <w:p w14:paraId="78B40C8E" w14:textId="77777777" w:rsidR="00661DED" w:rsidRPr="002707DF" w:rsidRDefault="00661DED" w:rsidP="002707DF">
          <w:pPr>
            <w:pStyle w:val="Paragraphtext"/>
            <w:rPr>
              <w:lang w:val="en-GB"/>
            </w:rPr>
          </w:pPr>
        </w:p>
        <w:p w14:paraId="6596C800" w14:textId="54990387" w:rsidR="002707DF" w:rsidRPr="002707DF" w:rsidRDefault="002707DF" w:rsidP="00DC6699">
          <w:pPr>
            <w:pStyle w:val="Paragraphtext"/>
            <w:numPr>
              <w:ilvl w:val="0"/>
              <w:numId w:val="12"/>
            </w:numPr>
            <w:rPr>
              <w:lang w:val="en-GB"/>
            </w:rPr>
          </w:pPr>
          <w:r w:rsidRPr="002707DF">
            <w:rPr>
              <w:lang w:val="en-GB"/>
            </w:rPr>
            <w:t xml:space="preserve">To make sure that EPACs </w:t>
          </w:r>
          <w:r w:rsidRPr="002707DF">
            <w:rPr>
              <w:rFonts w:ascii="Times New Roman" w:hAnsi="Times New Roman"/>
              <w:lang w:val="en-GB"/>
            </w:rPr>
            <w:t>≤</w:t>
          </w:r>
          <w:r w:rsidRPr="002707DF">
            <w:rPr>
              <w:lang w:val="en-GB"/>
            </w:rPr>
            <w:t xml:space="preserve"> 250 watts and </w:t>
          </w:r>
          <w:r w:rsidR="003B1BC7" w:rsidRPr="002707DF">
            <w:rPr>
              <w:rFonts w:ascii="Times New Roman" w:hAnsi="Times New Roman"/>
              <w:lang w:val="en-GB"/>
            </w:rPr>
            <w:t>≤</w:t>
          </w:r>
          <w:r w:rsidR="003B1BC7" w:rsidRPr="002707DF">
            <w:rPr>
              <w:lang w:val="en-GB"/>
            </w:rPr>
            <w:t xml:space="preserve"> </w:t>
          </w:r>
          <w:r w:rsidRPr="002707DF">
            <w:rPr>
              <w:lang w:val="en-GB"/>
            </w:rPr>
            <w:t xml:space="preserve">25 kph EPACs are excluded from </w:t>
          </w:r>
          <w:r w:rsidR="003B1BC7" w:rsidRPr="00411842">
            <w:rPr>
              <w:lang w:val="en-GB"/>
            </w:rPr>
            <w:t xml:space="preserve">upcoming </w:t>
          </w:r>
          <w:r w:rsidRPr="002707DF">
            <w:rPr>
              <w:lang w:val="en-GB"/>
            </w:rPr>
            <w:t xml:space="preserve">European Type Approval </w:t>
          </w:r>
          <w:r w:rsidR="00D94CF7" w:rsidRPr="00411842">
            <w:rPr>
              <w:lang w:val="en-GB"/>
            </w:rPr>
            <w:t xml:space="preserve">changes </w:t>
          </w:r>
          <w:r w:rsidRPr="002707DF">
            <w:rPr>
              <w:lang w:val="en-GB"/>
            </w:rPr>
            <w:t xml:space="preserve">(including </w:t>
          </w:r>
          <w:r w:rsidR="00D94CF7" w:rsidRPr="00411842">
            <w:rPr>
              <w:lang w:val="en-GB"/>
            </w:rPr>
            <w:t>smaller</w:t>
          </w:r>
          <w:r w:rsidRPr="002707DF">
            <w:rPr>
              <w:lang w:val="en-GB"/>
            </w:rPr>
            <w:t xml:space="preserve"> cargo bicycles), and that they remain in the orbit of CEN TC333.</w:t>
          </w:r>
        </w:p>
        <w:p w14:paraId="6483983E" w14:textId="2334AE6F" w:rsidR="002707DF" w:rsidRPr="002707DF" w:rsidRDefault="002707DF" w:rsidP="00DC6699">
          <w:pPr>
            <w:pStyle w:val="Paragraphtext"/>
            <w:numPr>
              <w:ilvl w:val="0"/>
              <w:numId w:val="12"/>
            </w:numPr>
            <w:rPr>
              <w:lang w:val="en-GB"/>
            </w:rPr>
          </w:pPr>
          <w:r w:rsidRPr="002707DF">
            <w:rPr>
              <w:lang w:val="en-GB"/>
            </w:rPr>
            <w:t>To improve the testing and regulatory environment for Speed Pedelecs and larger power assisted cargo bikes</w:t>
          </w:r>
          <w:r w:rsidR="00820605" w:rsidRPr="00411842">
            <w:rPr>
              <w:lang w:val="en-GB"/>
            </w:rPr>
            <w:t xml:space="preserve">, so that they are not </w:t>
          </w:r>
          <w:r w:rsidR="00D94CF7" w:rsidRPr="00411842">
            <w:rPr>
              <w:lang w:val="en-GB"/>
            </w:rPr>
            <w:t xml:space="preserve">overly impeded by burdensome </w:t>
          </w:r>
          <w:r w:rsidR="006F4B14" w:rsidRPr="00411842">
            <w:rPr>
              <w:lang w:val="en-GB"/>
            </w:rPr>
            <w:t>regulation that is not relevant for their safety</w:t>
          </w:r>
          <w:r w:rsidR="00206B5F">
            <w:rPr>
              <w:lang w:val="en-GB"/>
            </w:rPr>
            <w:t>.</w:t>
          </w:r>
        </w:p>
        <w:p w14:paraId="2774601C" w14:textId="5E84D1E0" w:rsidR="002707DF" w:rsidRPr="002707DF" w:rsidRDefault="002707DF" w:rsidP="00DC6699">
          <w:pPr>
            <w:pStyle w:val="Paragraphtext"/>
            <w:numPr>
              <w:ilvl w:val="0"/>
              <w:numId w:val="12"/>
            </w:numPr>
            <w:rPr>
              <w:lang w:val="en-GB"/>
            </w:rPr>
          </w:pPr>
          <w:r w:rsidRPr="002707DF">
            <w:rPr>
              <w:lang w:val="en-GB"/>
            </w:rPr>
            <w:t xml:space="preserve">Encourage </w:t>
          </w:r>
          <w:r w:rsidR="002E24A4" w:rsidRPr="00411842">
            <w:rPr>
              <w:lang w:val="en-GB"/>
            </w:rPr>
            <w:t>e</w:t>
          </w:r>
          <w:r w:rsidRPr="002707DF">
            <w:rPr>
              <w:lang w:val="en-GB"/>
            </w:rPr>
            <w:t>ducation of retailers and users that EPACs with step through frames may be safer for use with elderly riders.</w:t>
          </w:r>
        </w:p>
        <w:p w14:paraId="3697E6FE" w14:textId="77777777" w:rsidR="002707DF" w:rsidRPr="002707DF" w:rsidRDefault="002707DF" w:rsidP="00DC6699">
          <w:pPr>
            <w:pStyle w:val="Paragraphtext"/>
            <w:numPr>
              <w:ilvl w:val="0"/>
              <w:numId w:val="12"/>
            </w:numPr>
            <w:rPr>
              <w:lang w:val="en-GB"/>
            </w:rPr>
          </w:pPr>
          <w:r w:rsidRPr="002707DF">
            <w:rPr>
              <w:lang w:val="en-GB"/>
            </w:rPr>
            <w:t>The trend of EPAC manufacture is towards mid drive motors and away from wheel drive. This leads to a lower centre of gravity and less wheel skidding when accelerating. Batteries and motors are also becoming lighter. We would encourage the continuation of this trend.</w:t>
          </w:r>
        </w:p>
        <w:p w14:paraId="7C85696C" w14:textId="1451DA69" w:rsidR="002707DF" w:rsidRPr="002707DF" w:rsidRDefault="002707DF" w:rsidP="00DC6699">
          <w:pPr>
            <w:pStyle w:val="Paragraphtext"/>
            <w:numPr>
              <w:ilvl w:val="0"/>
              <w:numId w:val="12"/>
            </w:numPr>
            <w:rPr>
              <w:lang w:val="en-GB"/>
            </w:rPr>
          </w:pPr>
          <w:r w:rsidRPr="002707DF">
            <w:rPr>
              <w:lang w:val="en-GB"/>
            </w:rPr>
            <w:t>Not to increase the allowance of higher power limits</w:t>
          </w:r>
          <w:r w:rsidR="008016BC" w:rsidRPr="00411842">
            <w:rPr>
              <w:lang w:val="en-GB"/>
            </w:rPr>
            <w:t>/speeds</w:t>
          </w:r>
          <w:r w:rsidRPr="002707DF">
            <w:rPr>
              <w:lang w:val="en-GB"/>
            </w:rPr>
            <w:t xml:space="preserve"> for exclusion from type approval</w:t>
          </w:r>
          <w:r w:rsidR="00206B5F">
            <w:rPr>
              <w:lang w:val="en-GB"/>
            </w:rPr>
            <w:t>.</w:t>
          </w:r>
        </w:p>
        <w:p w14:paraId="1026F8D6" w14:textId="6A815ACB" w:rsidR="002707DF" w:rsidRPr="00661DED" w:rsidRDefault="002707DF" w:rsidP="002707DF">
          <w:pPr>
            <w:pStyle w:val="Paragraphtext"/>
            <w:numPr>
              <w:ilvl w:val="0"/>
              <w:numId w:val="12"/>
            </w:numPr>
            <w:rPr>
              <w:lang w:val="en-GB"/>
            </w:rPr>
          </w:pPr>
          <w:bookmarkStart w:id="2" w:name="_Hlk66797263"/>
          <w:r w:rsidRPr="002707DF">
            <w:rPr>
              <w:lang w:val="en-GB"/>
            </w:rPr>
            <w:t>The EU should provide funding to subsidise the purchase or EPACs</w:t>
          </w:r>
          <w:r w:rsidR="00820605" w:rsidRPr="00411842">
            <w:rPr>
              <w:rStyle w:val="Appelnotedebasdep"/>
              <w:lang w:val="en-GB"/>
            </w:rPr>
            <w:footnoteReference w:id="26"/>
          </w:r>
          <w:bookmarkEnd w:id="2"/>
          <w:r w:rsidR="00206B5F">
            <w:rPr>
              <w:lang w:val="en-GB"/>
            </w:rPr>
            <w:t>.</w:t>
          </w:r>
        </w:p>
        <w:p w14:paraId="33D17E00" w14:textId="77777777" w:rsidR="00371DF2" w:rsidRDefault="00371DF2" w:rsidP="00661DED">
          <w:pPr>
            <w:pStyle w:val="ECF-Heading2"/>
          </w:pPr>
        </w:p>
        <w:p w14:paraId="306B7046" w14:textId="02132726" w:rsidR="00661DED" w:rsidRPr="002707DF" w:rsidRDefault="002707DF" w:rsidP="00661DED">
          <w:pPr>
            <w:pStyle w:val="ECF-Heading2"/>
          </w:pPr>
          <w:r w:rsidRPr="00411842">
            <w:t xml:space="preserve">People, Behaviour and Society </w:t>
          </w:r>
        </w:p>
        <w:p w14:paraId="0D401BAC" w14:textId="77777777" w:rsidR="002707DF" w:rsidRPr="002707DF" w:rsidRDefault="002707DF" w:rsidP="00AE14CF">
          <w:pPr>
            <w:pStyle w:val="ECFboldtext"/>
          </w:pPr>
          <w:r w:rsidRPr="002707DF">
            <w:t xml:space="preserve">Driving Licence </w:t>
          </w:r>
        </w:p>
        <w:p w14:paraId="0D82C7D0" w14:textId="77777777" w:rsidR="00EC61AB" w:rsidRPr="00411842" w:rsidRDefault="00EC61AB" w:rsidP="002707DF">
          <w:pPr>
            <w:pStyle w:val="Paragraphtext"/>
            <w:rPr>
              <w:lang w:val="en-GB"/>
            </w:rPr>
          </w:pPr>
        </w:p>
        <w:p w14:paraId="6F725698" w14:textId="2A294D2F" w:rsidR="002707DF" w:rsidRPr="002707DF" w:rsidRDefault="000D6CE5" w:rsidP="002707DF">
          <w:pPr>
            <w:pStyle w:val="Paragraphtext"/>
            <w:rPr>
              <w:lang w:val="en-GB"/>
            </w:rPr>
          </w:pPr>
          <w:r w:rsidRPr="00411842">
            <w:rPr>
              <w:lang w:val="en-GB"/>
            </w:rPr>
            <w:t>A</w:t>
          </w:r>
          <w:r w:rsidR="002707DF" w:rsidRPr="002707DF">
            <w:rPr>
              <w:lang w:val="en-GB"/>
            </w:rPr>
            <w:t xml:space="preserve">s with the current licence Directive, Electric Power Assisted Cycles (EPACs) should be explicitly excluded from the </w:t>
          </w:r>
          <w:r w:rsidRPr="00411842">
            <w:rPr>
              <w:lang w:val="en-GB"/>
            </w:rPr>
            <w:t>Driving License Directive</w:t>
          </w:r>
          <w:r w:rsidR="002707DF" w:rsidRPr="002707DF">
            <w:rPr>
              <w:lang w:val="en-GB"/>
            </w:rPr>
            <w:t>. They are treated as bicycles within national regulations and also in European Type Approval, the Motor Insurance Directive and in the current driving licence Directive.</w:t>
          </w:r>
        </w:p>
        <w:p w14:paraId="1070FF81" w14:textId="77777777" w:rsidR="002707DF" w:rsidRPr="002707DF" w:rsidRDefault="002707DF" w:rsidP="002707DF">
          <w:pPr>
            <w:pStyle w:val="Paragraphtext"/>
            <w:rPr>
              <w:lang w:val="en-GB"/>
            </w:rPr>
          </w:pPr>
        </w:p>
        <w:p w14:paraId="5A06BC1F" w14:textId="30206677" w:rsidR="002707DF" w:rsidRPr="002707DF" w:rsidRDefault="002707DF" w:rsidP="002707DF">
          <w:pPr>
            <w:pStyle w:val="Paragraphtext"/>
            <w:rPr>
              <w:lang w:val="en-GB"/>
            </w:rPr>
          </w:pPr>
          <w:r w:rsidRPr="002707DF">
            <w:rPr>
              <w:lang w:val="en-GB"/>
            </w:rPr>
            <w:lastRenderedPageBreak/>
            <w:t xml:space="preserve">We support the Commission in opposing the attempted reduction in age limits for some smaller M1 cars last year, and we strongly support our Finnish members Pyöräliitto ry in opposing any reduction in the age limit for any M and N category vehicles. The driving licence directive should not allow any reduction in ages nor derogation at the national level. In the United States, the risk of crashes among car drivers between the ages of 16 and 17 is about twice as high as that of 18- to 19-year-olds. In Finland 17-year-olds accounted for about 8 percent of all road infractions, although only about 0.3 percent of driving license holders. Allowing younger drivers of fully sized vehicles is the wrong direction that we should be taking for safer roads across the EU. In </w:t>
          </w:r>
          <w:r w:rsidR="00695F29" w:rsidRPr="002707DF">
            <w:rPr>
              <w:lang w:val="en-GB"/>
            </w:rPr>
            <w:t>fact,</w:t>
          </w:r>
          <w:r w:rsidRPr="002707DF">
            <w:rPr>
              <w:lang w:val="en-GB"/>
            </w:rPr>
            <w:t xml:space="preserve"> we would support a graduated scheme similar to the L category type of vehicles. Novice drivers should not be allowed to drive more powerful, larger vehicles nor taking part in more risky driving such as at night or with other passengers until having completed a further validation and testing requirement. Driving training should be a lifelong learning, vehicles, road rules, and traffic makeup change over time as do the drivers themselves. Re-assessment should be a part of this lifelong learning and training should be incorporated after the initial training and testing </w:t>
          </w:r>
          <w:r w:rsidR="00695F29" w:rsidRPr="002707DF">
            <w:rPr>
              <w:lang w:val="en-GB"/>
            </w:rPr>
            <w:t>to</w:t>
          </w:r>
          <w:r w:rsidRPr="002707DF">
            <w:rPr>
              <w:lang w:val="en-GB"/>
            </w:rPr>
            <w:t xml:space="preserve"> retain the licence</w:t>
          </w:r>
          <w:r w:rsidR="00695F29">
            <w:rPr>
              <w:lang w:val="en-GB"/>
            </w:rPr>
            <w:t>.</w:t>
          </w:r>
        </w:p>
        <w:p w14:paraId="4F6BDD4F" w14:textId="77777777" w:rsidR="002707DF" w:rsidRPr="002707DF" w:rsidRDefault="002707DF" w:rsidP="002707DF">
          <w:pPr>
            <w:pStyle w:val="Paragraphtext"/>
            <w:rPr>
              <w:lang w:val="en-GB"/>
            </w:rPr>
          </w:pPr>
        </w:p>
        <w:p w14:paraId="7815F6B0" w14:textId="77777777" w:rsidR="002707DF" w:rsidRPr="004F1A0D" w:rsidRDefault="002707DF" w:rsidP="002707DF">
          <w:pPr>
            <w:pStyle w:val="Paragraphtext"/>
            <w:rPr>
              <w:i/>
              <w:iCs/>
              <w:u w:val="single"/>
              <w:lang w:val="en-GB"/>
            </w:rPr>
          </w:pPr>
          <w:r w:rsidRPr="004F1A0D">
            <w:rPr>
              <w:i/>
              <w:iCs/>
              <w:u w:val="single"/>
              <w:lang w:val="en-GB"/>
            </w:rPr>
            <w:t>Recommendations</w:t>
          </w:r>
        </w:p>
        <w:p w14:paraId="7DA5B9B7" w14:textId="40377280" w:rsidR="002707DF" w:rsidRPr="002707DF" w:rsidRDefault="002707DF" w:rsidP="00DC6699">
          <w:pPr>
            <w:pStyle w:val="Paragraphtext"/>
            <w:numPr>
              <w:ilvl w:val="0"/>
              <w:numId w:val="9"/>
            </w:numPr>
            <w:rPr>
              <w:lang w:val="en-GB"/>
            </w:rPr>
          </w:pPr>
          <w:r w:rsidRPr="002707DF">
            <w:rPr>
              <w:lang w:val="en-GB"/>
            </w:rPr>
            <w:t>The lowering of the age limit should not be allowed for any vehicles including smaller M1 cars</w:t>
          </w:r>
          <w:r w:rsidR="003D3144">
            <w:rPr>
              <w:lang w:val="en-GB"/>
            </w:rPr>
            <w:t>.</w:t>
          </w:r>
        </w:p>
        <w:p w14:paraId="59D2A461" w14:textId="77777777" w:rsidR="002707DF" w:rsidRPr="002707DF" w:rsidRDefault="002707DF" w:rsidP="00DC6699">
          <w:pPr>
            <w:pStyle w:val="Paragraphtext"/>
            <w:numPr>
              <w:ilvl w:val="0"/>
              <w:numId w:val="9"/>
            </w:numPr>
            <w:rPr>
              <w:lang w:val="en-GB"/>
            </w:rPr>
          </w:pPr>
          <w:r w:rsidRPr="002707DF">
            <w:rPr>
              <w:lang w:val="en-GB"/>
            </w:rPr>
            <w:t>A graduated driving licence that requires young or novice drivers to have more experience before being allowed to operate more powerful vehicles.</w:t>
          </w:r>
        </w:p>
        <w:p w14:paraId="00F903AB" w14:textId="55DDFCC8" w:rsidR="002707DF" w:rsidRPr="002707DF" w:rsidRDefault="002707DF" w:rsidP="00DC6699">
          <w:pPr>
            <w:pStyle w:val="Paragraphtext"/>
            <w:numPr>
              <w:ilvl w:val="0"/>
              <w:numId w:val="9"/>
            </w:numPr>
            <w:rPr>
              <w:lang w:val="en-GB"/>
            </w:rPr>
          </w:pPr>
          <w:r w:rsidRPr="002707DF">
            <w:rPr>
              <w:lang w:val="en-GB"/>
            </w:rPr>
            <w:t>Align driving education, training, and testing across European countries. A review of the Driving Licence Directive could strengthen formal driver training with a set of harmonised standards. That could also include interaction with cyclists and pedestrians</w:t>
          </w:r>
          <w:r w:rsidR="003D3144">
            <w:rPr>
              <w:lang w:val="en-GB"/>
            </w:rPr>
            <w:t>.</w:t>
          </w:r>
        </w:p>
        <w:p w14:paraId="6C0E7635" w14:textId="77777777" w:rsidR="002707DF" w:rsidRPr="002707DF" w:rsidRDefault="002707DF" w:rsidP="00DC6699">
          <w:pPr>
            <w:pStyle w:val="Paragraphtext"/>
            <w:numPr>
              <w:ilvl w:val="0"/>
              <w:numId w:val="9"/>
            </w:numPr>
            <w:rPr>
              <w:lang w:val="en-GB"/>
            </w:rPr>
          </w:pPr>
          <w:r w:rsidRPr="002707DF">
            <w:rPr>
              <w:lang w:val="en-GB"/>
            </w:rPr>
            <w:t>Advanced Driving Systems should also be part of the testing and training procedures. The risks associated with semi-autonomous driving will also have to be built in eventually to the driving licence attainment. However, Drivers should be trained to be able to drive cars without advanced driving systems and vehicles with driving systems. Both can be very different to drive but can have an impact on safety outcomes.</w:t>
          </w:r>
        </w:p>
        <w:p w14:paraId="01D9CD37" w14:textId="67810F57" w:rsidR="002707DF" w:rsidRPr="002707DF" w:rsidRDefault="002707DF" w:rsidP="00DC6699">
          <w:pPr>
            <w:pStyle w:val="Paragraphtext"/>
            <w:numPr>
              <w:ilvl w:val="0"/>
              <w:numId w:val="9"/>
            </w:numPr>
            <w:rPr>
              <w:lang w:val="en-GB"/>
            </w:rPr>
          </w:pPr>
          <w:r w:rsidRPr="002707DF">
            <w:rPr>
              <w:lang w:val="en-GB"/>
            </w:rPr>
            <w:t xml:space="preserve">Electric Power Assisted Cycles (EPACs) should be explicitly excluded from the scope of the Directive. They are treated as bicycles within national regulations </w:t>
          </w:r>
          <w:r w:rsidR="00695F29" w:rsidRPr="002707DF">
            <w:rPr>
              <w:lang w:val="en-GB"/>
            </w:rPr>
            <w:t>and</w:t>
          </w:r>
          <w:r w:rsidRPr="002707DF">
            <w:rPr>
              <w:lang w:val="en-GB"/>
            </w:rPr>
            <w:t xml:space="preserve"> excluded from European Type Approval, the Motor Insurance Directive, and in the current Driving Licence Directive.</w:t>
          </w:r>
        </w:p>
        <w:p w14:paraId="64A17EDB" w14:textId="0A3A3299" w:rsidR="002707DF" w:rsidRDefault="002707DF" w:rsidP="002707DF">
          <w:pPr>
            <w:pStyle w:val="Paragraphtext"/>
            <w:numPr>
              <w:ilvl w:val="0"/>
              <w:numId w:val="9"/>
            </w:numPr>
            <w:rPr>
              <w:lang w:val="en-GB"/>
            </w:rPr>
          </w:pPr>
          <w:r w:rsidRPr="002707DF">
            <w:rPr>
              <w:lang w:val="en-GB"/>
            </w:rPr>
            <w:t xml:space="preserve">Re-assessment should be a part of this lifelong learning and training should be incorporated after the initial training and testing </w:t>
          </w:r>
          <w:r w:rsidR="00695F29" w:rsidRPr="002707DF">
            <w:rPr>
              <w:lang w:val="en-GB"/>
            </w:rPr>
            <w:t>to</w:t>
          </w:r>
          <w:r w:rsidRPr="002707DF">
            <w:rPr>
              <w:lang w:val="en-GB"/>
            </w:rPr>
            <w:t xml:space="preserve"> retain the licence.</w:t>
          </w:r>
        </w:p>
        <w:p w14:paraId="4B90D0A7" w14:textId="77777777" w:rsidR="00695F29" w:rsidRPr="002707DF" w:rsidRDefault="00695F29" w:rsidP="003D3144">
          <w:pPr>
            <w:pStyle w:val="Paragraphtext"/>
            <w:rPr>
              <w:lang w:val="en-GB"/>
            </w:rPr>
          </w:pPr>
        </w:p>
        <w:p w14:paraId="228C8AE0" w14:textId="6A6A29DC" w:rsidR="002707DF" w:rsidRPr="002707DF" w:rsidRDefault="001D3DB0" w:rsidP="00AE14CF">
          <w:pPr>
            <w:pStyle w:val="ECFboldtext"/>
          </w:pPr>
          <w:r w:rsidRPr="00AA082A">
            <w:t>Speed Management</w:t>
          </w:r>
        </w:p>
        <w:p w14:paraId="04B87BC2" w14:textId="77777777" w:rsidR="002707DF" w:rsidRPr="002707DF" w:rsidRDefault="002707DF" w:rsidP="002707DF">
          <w:pPr>
            <w:pStyle w:val="Paragraphtext"/>
            <w:rPr>
              <w:lang w:val="en-GB"/>
            </w:rPr>
          </w:pPr>
        </w:p>
        <w:p w14:paraId="210F98F6" w14:textId="2F44FA8A" w:rsidR="002707DF" w:rsidRPr="002707DF" w:rsidRDefault="00D730B6" w:rsidP="00FD3B9B">
          <w:pPr>
            <w:pStyle w:val="Paragraphtext"/>
            <w:rPr>
              <w:lang w:val="en-GB"/>
            </w:rPr>
          </w:pPr>
          <w:r w:rsidRPr="00411842">
            <w:rPr>
              <w:lang w:val="en-GB"/>
            </w:rPr>
            <w:t>Speed is an important part of the Safe System approach</w:t>
          </w:r>
          <w:r w:rsidR="00F7018E" w:rsidRPr="00411842">
            <w:rPr>
              <w:lang w:val="en-GB"/>
            </w:rPr>
            <w:t xml:space="preserve">. </w:t>
          </w:r>
          <w:r w:rsidR="00F7642D" w:rsidRPr="00411842">
            <w:rPr>
              <w:lang w:val="en-GB"/>
            </w:rPr>
            <w:t>In around 30% of fatal crashes, speed is an essential contributory factor and exceeding speed limits is very common. Typically, 40 to 50% of drivers travel faster than the speed limit, and between 10 to 20% exceed the speed limit by more than 10 km/h</w:t>
          </w:r>
          <w:r w:rsidR="00F7642D" w:rsidRPr="00411842">
            <w:rPr>
              <w:vertAlign w:val="superscript"/>
              <w:lang w:val="en-GB"/>
            </w:rPr>
            <w:footnoteReference w:id="27"/>
          </w:r>
          <w:r w:rsidR="00F7642D" w:rsidRPr="00411842">
            <w:rPr>
              <w:lang w:val="en-GB"/>
            </w:rPr>
            <w:t>. ETSC</w:t>
          </w:r>
          <w:r w:rsidR="00F7642D" w:rsidRPr="00411842">
            <w:rPr>
              <w:vertAlign w:val="superscript"/>
              <w:lang w:val="en-GB"/>
            </w:rPr>
            <w:footnoteReference w:id="28"/>
          </w:r>
          <w:r w:rsidR="00F7642D" w:rsidRPr="00411842">
            <w:rPr>
              <w:lang w:val="en-GB"/>
            </w:rPr>
            <w:t xml:space="preserve"> claim that 2,100 lives could be saved each year if the average speed dropped by only 1 km/h on all roads across the EU. </w:t>
          </w:r>
          <w:r w:rsidR="00FD3B9B" w:rsidRPr="00411842">
            <w:rPr>
              <w:lang w:val="en-GB"/>
            </w:rPr>
            <w:t>The EU should look at speed management also through the lens of health, the environment, and modal shift</w:t>
          </w:r>
          <w:r w:rsidR="0089637B" w:rsidRPr="00411842">
            <w:rPr>
              <w:lang w:val="en-GB"/>
            </w:rPr>
            <w:t>. Reducing speed, particularly in urban are</w:t>
          </w:r>
          <w:r w:rsidR="008C1D8B" w:rsidRPr="00411842">
            <w:rPr>
              <w:lang w:val="en-GB"/>
            </w:rPr>
            <w:t xml:space="preserve">as, </w:t>
          </w:r>
          <w:r w:rsidR="0089637B" w:rsidRPr="00411842">
            <w:rPr>
              <w:lang w:val="en-GB"/>
            </w:rPr>
            <w:t>also has an impact on improving the quality of air</w:t>
          </w:r>
          <w:r w:rsidR="00FF1030" w:rsidRPr="00411842">
            <w:rPr>
              <w:lang w:val="en-GB"/>
            </w:rPr>
            <w:t xml:space="preserve">, </w:t>
          </w:r>
          <w:r w:rsidR="008C5ABB" w:rsidRPr="00411842">
            <w:rPr>
              <w:lang w:val="en-GB"/>
            </w:rPr>
            <w:t>reduce CO2 emissions</w:t>
          </w:r>
          <w:r w:rsidR="00FF1030" w:rsidRPr="00411842">
            <w:rPr>
              <w:lang w:val="en-GB"/>
            </w:rPr>
            <w:t xml:space="preserve">. </w:t>
          </w:r>
          <w:r w:rsidR="00EC4C53" w:rsidRPr="00411842">
            <w:rPr>
              <w:lang w:val="en-GB"/>
            </w:rPr>
            <w:t xml:space="preserve">This should also be seen through the lens of modal </w:t>
          </w:r>
          <w:r w:rsidR="00EC4C53" w:rsidRPr="00411842">
            <w:rPr>
              <w:lang w:val="en-GB"/>
            </w:rPr>
            <w:lastRenderedPageBreak/>
            <w:t>shift, i</w:t>
          </w:r>
          <w:r w:rsidR="00FF1030" w:rsidRPr="00411842">
            <w:rPr>
              <w:lang w:val="en-GB"/>
            </w:rPr>
            <w:t>n other words l</w:t>
          </w:r>
          <w:r w:rsidR="000F7E86" w:rsidRPr="00411842">
            <w:rPr>
              <w:lang w:val="en-GB"/>
            </w:rPr>
            <w:t xml:space="preserve">ower speeds will mean more welcoming roads for cyclists and pedestrians with all the modal shift and attendant health/environmental </w:t>
          </w:r>
          <w:r w:rsidR="00C33C13" w:rsidRPr="00411842">
            <w:rPr>
              <w:lang w:val="en-GB"/>
            </w:rPr>
            <w:t>benefits.</w:t>
          </w:r>
        </w:p>
        <w:p w14:paraId="3102EE5D" w14:textId="77777777" w:rsidR="00FD3B9B" w:rsidRPr="00411842" w:rsidRDefault="00FD3B9B" w:rsidP="002707DF">
          <w:pPr>
            <w:pStyle w:val="Paragraphtext"/>
            <w:rPr>
              <w:lang w:val="en-GB"/>
            </w:rPr>
          </w:pPr>
        </w:p>
        <w:p w14:paraId="347086C9" w14:textId="1FE72054" w:rsidR="002707DF" w:rsidRPr="004F1A0D" w:rsidRDefault="002707DF" w:rsidP="002707DF">
          <w:pPr>
            <w:pStyle w:val="Paragraphtext"/>
            <w:rPr>
              <w:i/>
              <w:iCs/>
              <w:u w:val="single"/>
              <w:lang w:val="en-GB"/>
            </w:rPr>
          </w:pPr>
          <w:r w:rsidRPr="004F1A0D">
            <w:rPr>
              <w:i/>
              <w:iCs/>
              <w:u w:val="single"/>
              <w:lang w:val="en-GB"/>
            </w:rPr>
            <w:t>Recommendations</w:t>
          </w:r>
        </w:p>
        <w:p w14:paraId="00CFF04A" w14:textId="77777777" w:rsidR="00AD407A" w:rsidRPr="002707DF" w:rsidRDefault="00AD407A" w:rsidP="002707DF">
          <w:pPr>
            <w:pStyle w:val="Paragraphtext"/>
            <w:rPr>
              <w:lang w:val="en-GB"/>
            </w:rPr>
          </w:pPr>
        </w:p>
        <w:p w14:paraId="5BEFA788" w14:textId="44C613EC" w:rsidR="002707DF" w:rsidRDefault="002707DF" w:rsidP="00DC6699">
          <w:pPr>
            <w:pStyle w:val="Paragraphtext"/>
            <w:numPr>
              <w:ilvl w:val="0"/>
              <w:numId w:val="13"/>
            </w:numPr>
            <w:rPr>
              <w:lang w:val="en-GB"/>
            </w:rPr>
          </w:pPr>
          <w:r w:rsidRPr="002707DF">
            <w:rPr>
              <w:lang w:val="en-GB"/>
            </w:rPr>
            <w:t xml:space="preserve">Encourage </w:t>
          </w:r>
          <w:r w:rsidR="005233BD" w:rsidRPr="00411842">
            <w:rPr>
              <w:lang w:val="en-GB"/>
            </w:rPr>
            <w:t xml:space="preserve">and recommend </w:t>
          </w:r>
          <w:r w:rsidRPr="002707DF">
            <w:rPr>
              <w:lang w:val="en-GB"/>
            </w:rPr>
            <w:t>EU Member States to adopt as default maximum 30km/h in cities where people walk, cycle, work, and play.</w:t>
          </w:r>
        </w:p>
        <w:p w14:paraId="7DF72012" w14:textId="13B9FFF9" w:rsidR="006E16B1" w:rsidRPr="002707DF" w:rsidRDefault="00B3067A" w:rsidP="00DC6699">
          <w:pPr>
            <w:pStyle w:val="Paragraphtext"/>
            <w:numPr>
              <w:ilvl w:val="0"/>
              <w:numId w:val="13"/>
            </w:numPr>
            <w:rPr>
              <w:lang w:val="en-GB"/>
            </w:rPr>
          </w:pPr>
          <w:r>
            <w:rPr>
              <w:lang w:val="en-GB"/>
            </w:rPr>
            <w:t>Bind</w:t>
          </w:r>
          <w:r w:rsidR="006E16B1">
            <w:rPr>
              <w:lang w:val="en-GB"/>
            </w:rPr>
            <w:t xml:space="preserve"> EU funding for transport projects in and around urban areas to </w:t>
          </w:r>
          <w:r>
            <w:rPr>
              <w:lang w:val="en-GB"/>
            </w:rPr>
            <w:t>SUMPs and decrease in speed</w:t>
          </w:r>
          <w:r w:rsidR="00206B5F">
            <w:rPr>
              <w:lang w:val="en-GB"/>
            </w:rPr>
            <w:t>.</w:t>
          </w:r>
        </w:p>
        <w:p w14:paraId="7631BB47" w14:textId="619DA6B5" w:rsidR="002707DF" w:rsidRPr="00411842" w:rsidRDefault="00EF0354" w:rsidP="00DC6699">
          <w:pPr>
            <w:pStyle w:val="Paragraphtext"/>
            <w:numPr>
              <w:ilvl w:val="0"/>
              <w:numId w:val="13"/>
            </w:numPr>
            <w:rPr>
              <w:lang w:val="en-GB"/>
            </w:rPr>
          </w:pPr>
          <w:r w:rsidRPr="00411842">
            <w:rPr>
              <w:lang w:val="en-GB"/>
            </w:rPr>
            <w:t xml:space="preserve">To encourage </w:t>
          </w:r>
          <w:r w:rsidR="00F10609" w:rsidRPr="00411842">
            <w:rPr>
              <w:lang w:val="en-GB"/>
            </w:rPr>
            <w:t>“</w:t>
          </w:r>
          <w:r w:rsidRPr="00411842">
            <w:rPr>
              <w:lang w:val="en-GB"/>
            </w:rPr>
            <w:t>Speed</w:t>
          </w:r>
          <w:r w:rsidR="00F10609" w:rsidRPr="00411842">
            <w:rPr>
              <w:lang w:val="en-GB"/>
            </w:rPr>
            <w:t>”</w:t>
          </w:r>
          <w:r w:rsidRPr="00411842">
            <w:rPr>
              <w:lang w:val="en-GB"/>
            </w:rPr>
            <w:t xml:space="preserve"> to be at the centre of </w:t>
          </w:r>
          <w:r w:rsidR="00F038ED" w:rsidRPr="00411842">
            <w:rPr>
              <w:lang w:val="en-GB"/>
            </w:rPr>
            <w:t>national road plans and strategies</w:t>
          </w:r>
          <w:r w:rsidR="00206B5F">
            <w:rPr>
              <w:lang w:val="en-GB"/>
            </w:rPr>
            <w:t>.</w:t>
          </w:r>
        </w:p>
        <w:p w14:paraId="3CD11574" w14:textId="5CA44943" w:rsidR="002707DF" w:rsidRPr="00411842" w:rsidRDefault="009019ED" w:rsidP="00DC6699">
          <w:pPr>
            <w:pStyle w:val="Paragraphtext"/>
            <w:numPr>
              <w:ilvl w:val="0"/>
              <w:numId w:val="13"/>
            </w:numPr>
            <w:rPr>
              <w:lang w:val="en-GB"/>
            </w:rPr>
          </w:pPr>
          <w:r w:rsidRPr="00411842">
            <w:rPr>
              <w:lang w:val="en-GB"/>
            </w:rPr>
            <w:t xml:space="preserve">Keep an inventory of all cities that </w:t>
          </w:r>
          <w:r w:rsidR="00D8270A" w:rsidRPr="00411842">
            <w:rPr>
              <w:lang w:val="en-GB"/>
            </w:rPr>
            <w:t xml:space="preserve">have implemented a default 30 kph limit along with a </w:t>
          </w:r>
          <w:r w:rsidR="008F7DF8" w:rsidRPr="00411842">
            <w:rPr>
              <w:lang w:val="en-GB"/>
            </w:rPr>
            <w:t>‘How To’ file.</w:t>
          </w:r>
          <w:r w:rsidR="00FD7AFD" w:rsidRPr="00411842">
            <w:rPr>
              <w:lang w:val="en-GB"/>
            </w:rPr>
            <w:t xml:space="preserve"> </w:t>
          </w:r>
          <w:r w:rsidR="00073622" w:rsidRPr="00411842">
            <w:rPr>
              <w:lang w:val="en-GB"/>
            </w:rPr>
            <w:t>Used as a way for cities to point to other cities that are doing the same so citizens fell part of a movement</w:t>
          </w:r>
          <w:r w:rsidR="00D10BA2" w:rsidRPr="00411842">
            <w:rPr>
              <w:lang w:val="en-GB"/>
            </w:rPr>
            <w:t xml:space="preserve">, and to enable cities a </w:t>
          </w:r>
          <w:r w:rsidR="00A8500E" w:rsidRPr="00411842">
            <w:rPr>
              <w:lang w:val="en-GB"/>
            </w:rPr>
            <w:t>ready-made</w:t>
          </w:r>
          <w:r w:rsidR="00D10BA2" w:rsidRPr="00411842">
            <w:rPr>
              <w:lang w:val="en-GB"/>
            </w:rPr>
            <w:t xml:space="preserve"> box of tools or communication tools.</w:t>
          </w:r>
        </w:p>
        <w:p w14:paraId="4F40EA4C" w14:textId="044C5495" w:rsidR="000F7E86" w:rsidRDefault="00A8500E" w:rsidP="00B002E4">
          <w:pPr>
            <w:pStyle w:val="Paragraphtext"/>
            <w:numPr>
              <w:ilvl w:val="0"/>
              <w:numId w:val="13"/>
            </w:numPr>
            <w:rPr>
              <w:lang w:val="en-GB"/>
            </w:rPr>
          </w:pPr>
          <w:r w:rsidRPr="00411842">
            <w:rPr>
              <w:lang w:val="en-GB"/>
            </w:rPr>
            <w:t>Encourage Member States to improve speed limit signs to be working with vehicle speed assistance systems</w:t>
          </w:r>
          <w:r w:rsidR="006325BD" w:rsidRPr="00411842">
            <w:rPr>
              <w:lang w:val="en-GB"/>
            </w:rPr>
            <w:t>. Also to improve speed limit mapping data that can work with in vehicle camera technologies.</w:t>
          </w:r>
        </w:p>
        <w:p w14:paraId="40459EA1" w14:textId="69B6FA73" w:rsidR="002707DF" w:rsidRPr="00C9271A" w:rsidRDefault="00C72954" w:rsidP="002707DF">
          <w:pPr>
            <w:pStyle w:val="Paragraphtext"/>
            <w:numPr>
              <w:ilvl w:val="0"/>
              <w:numId w:val="13"/>
            </w:numPr>
            <w:rPr>
              <w:lang w:val="en-GB"/>
            </w:rPr>
          </w:pPr>
          <w:r>
            <w:rPr>
              <w:lang w:val="en-GB"/>
            </w:rPr>
            <w:t>Improve the Intelligent Speed Assistance mandatory requirements in vehicle</w:t>
          </w:r>
          <w:r w:rsidR="00AD407A">
            <w:rPr>
              <w:lang w:val="en-GB"/>
            </w:rPr>
            <w:t xml:space="preserve"> Type Approval (See Vehicle GSR)</w:t>
          </w:r>
          <w:r w:rsidR="00206B5F">
            <w:rPr>
              <w:lang w:val="en-GB"/>
            </w:rPr>
            <w:t>.</w:t>
          </w:r>
        </w:p>
        <w:p w14:paraId="49E358D6" w14:textId="0903E7CD" w:rsidR="002707DF" w:rsidRPr="00AA082A" w:rsidRDefault="002707DF" w:rsidP="00AE14CF">
          <w:pPr>
            <w:pStyle w:val="ECFboldtext"/>
          </w:pPr>
          <w:r w:rsidRPr="002707DF">
            <w:t>Helmets</w:t>
          </w:r>
        </w:p>
        <w:p w14:paraId="75E06974" w14:textId="77777777" w:rsidR="002C747D" w:rsidRPr="002707DF" w:rsidRDefault="002C747D" w:rsidP="002707DF">
          <w:pPr>
            <w:pStyle w:val="Paragraphtext"/>
            <w:rPr>
              <w:b/>
              <w:bCs/>
              <w:lang w:val="en-GB"/>
            </w:rPr>
          </w:pPr>
        </w:p>
        <w:p w14:paraId="5C7D8FBE" w14:textId="7A330B5C" w:rsidR="00DF4E8C" w:rsidRDefault="00FD259D" w:rsidP="00365431">
          <w:pPr>
            <w:pStyle w:val="Paragraphtext"/>
            <w:rPr>
              <w:lang w:val="en-GB"/>
            </w:rPr>
          </w:pPr>
          <w:r w:rsidRPr="00411842">
            <w:rPr>
              <w:lang w:val="en-GB"/>
            </w:rPr>
            <w:t>It is essential that road safety is incorporated into</w:t>
          </w:r>
          <w:r w:rsidR="008B0502" w:rsidRPr="00411842">
            <w:rPr>
              <w:lang w:val="en-GB"/>
            </w:rPr>
            <w:t xml:space="preserve"> improving environmental, social, and health benefits to society</w:t>
          </w:r>
          <w:r w:rsidR="002C747D">
            <w:rPr>
              <w:lang w:val="en-GB"/>
            </w:rPr>
            <w:t>.</w:t>
          </w:r>
          <w:r w:rsidR="002707DF" w:rsidRPr="002707DF">
            <w:rPr>
              <w:lang w:val="en-GB"/>
            </w:rPr>
            <w:t xml:space="preserve"> There is good evidence that shows a link between mandatory helmet laws and a reduction in the number of cyclists</w:t>
          </w:r>
          <w:r w:rsidR="0093572E" w:rsidRPr="00411842">
            <w:rPr>
              <w:rStyle w:val="Appelnotedebasdep"/>
              <w:lang w:val="en-GB"/>
            </w:rPr>
            <w:footnoteReference w:id="29"/>
          </w:r>
          <w:r w:rsidR="002707DF" w:rsidRPr="002707DF">
            <w:rPr>
              <w:lang w:val="en-GB"/>
            </w:rPr>
            <w:t xml:space="preserve">. ECF therefore does not support a mandatory law banning cycling on condition of helmet use. The use of a helmet should be a choice for the individual cyclist. Cycling is not such an overly dangerous activity that is requires a generalised law </w:t>
          </w:r>
          <w:r w:rsidR="0093572E" w:rsidRPr="00411842">
            <w:rPr>
              <w:lang w:val="en-GB"/>
            </w:rPr>
            <w:t xml:space="preserve">that would ban cycling without the required </w:t>
          </w:r>
          <w:r w:rsidR="002707DF" w:rsidRPr="002707DF">
            <w:rPr>
              <w:lang w:val="en-GB"/>
            </w:rPr>
            <w:t xml:space="preserve">use of a helmet. </w:t>
          </w:r>
          <w:r w:rsidR="009A1DB9">
            <w:rPr>
              <w:lang w:val="en-GB"/>
            </w:rPr>
            <w:t xml:space="preserve">This runs also to the European Commission’s Road Safety Strategy and KPI on measuring helmet use. Given the ineffectiveness of helmet use, this does not measure safety, rather it measures the fear that a cycling population feels </w:t>
          </w:r>
          <w:r w:rsidR="005145E2">
            <w:rPr>
              <w:lang w:val="en-GB"/>
            </w:rPr>
            <w:t xml:space="preserve">when sharing the road. We are also concerned that when the KPIs </w:t>
          </w:r>
          <w:r w:rsidR="00D545A4">
            <w:rPr>
              <w:lang w:val="en-GB"/>
            </w:rPr>
            <w:t xml:space="preserve">are </w:t>
          </w:r>
          <w:r w:rsidR="00D545A4" w:rsidRPr="00D545A4">
            <w:rPr>
              <w:lang w:val="en-GB"/>
            </w:rPr>
            <w:t xml:space="preserve">set </w:t>
          </w:r>
          <w:r w:rsidR="00D545A4">
            <w:rPr>
              <w:lang w:val="en-GB"/>
            </w:rPr>
            <w:t xml:space="preserve">to </w:t>
          </w:r>
          <w:r w:rsidR="00D545A4" w:rsidRPr="00D545A4">
            <w:rPr>
              <w:lang w:val="en-GB"/>
            </w:rPr>
            <w:t>outcome targets based on the indicators</w:t>
          </w:r>
          <w:r w:rsidR="00D545A4">
            <w:rPr>
              <w:lang w:val="en-GB"/>
            </w:rPr>
            <w:t xml:space="preserve">, and when Member States are to be assessed on these measures, it will be a simple </w:t>
          </w:r>
          <w:r w:rsidR="005F1C68">
            <w:rPr>
              <w:lang w:val="en-GB"/>
            </w:rPr>
            <w:t xml:space="preserve">question of imposing a helmet law </w:t>
          </w:r>
          <w:r w:rsidR="00695F29">
            <w:rPr>
              <w:lang w:val="en-GB"/>
            </w:rPr>
            <w:t>to</w:t>
          </w:r>
          <w:r w:rsidR="005F1C68">
            <w:rPr>
              <w:lang w:val="en-GB"/>
            </w:rPr>
            <w:t xml:space="preserve"> improve a countries safety ‘score’ while in fact reducing cycling numbers. </w:t>
          </w:r>
          <w:r w:rsidR="00052583">
            <w:rPr>
              <w:lang w:val="en-GB"/>
            </w:rPr>
            <w:t>There are a number of ways to improve cycling safety and banning cycling</w:t>
          </w:r>
          <w:r w:rsidR="00BE4927">
            <w:rPr>
              <w:lang w:val="en-GB"/>
            </w:rPr>
            <w:t xml:space="preserve"> unless riding with a helmet </w:t>
          </w:r>
          <w:r w:rsidR="00F314CF">
            <w:rPr>
              <w:lang w:val="en-GB"/>
            </w:rPr>
            <w:t>should not be a consideration</w:t>
          </w:r>
          <w:r w:rsidR="00DF4E8C">
            <w:rPr>
              <w:lang w:val="en-GB"/>
            </w:rPr>
            <w:t xml:space="preserve">. </w:t>
          </w:r>
        </w:p>
        <w:p w14:paraId="59CFD785" w14:textId="77777777" w:rsidR="00365431" w:rsidRDefault="00365431" w:rsidP="00365431">
          <w:pPr>
            <w:pStyle w:val="Paragraphtext"/>
          </w:pPr>
        </w:p>
        <w:p w14:paraId="170667F8" w14:textId="746C8FB6" w:rsidR="00DF4E8C" w:rsidRDefault="00DF4E8C" w:rsidP="00CE462B">
          <w:pPr>
            <w:pStyle w:val="Paragraphtext"/>
            <w:rPr>
              <w:lang w:val="en-GB"/>
            </w:rPr>
          </w:pPr>
          <w:r w:rsidRPr="00DF4E8C">
            <w:rPr>
              <w:lang w:val="en-GB"/>
            </w:rPr>
            <w:t>ECF believe that what a cyclist wears should be his/her own choice. We think that wearing a</w:t>
          </w:r>
          <w:r w:rsidR="00A47C86">
            <w:rPr>
              <w:lang w:val="en-GB"/>
            </w:rPr>
            <w:t xml:space="preserve"> </w:t>
          </w:r>
          <w:r w:rsidRPr="00DF4E8C">
            <w:rPr>
              <w:lang w:val="en-GB"/>
            </w:rPr>
            <w:t>helmet should not be mandatory and imposed by public authorities. Cyclists typically live longer</w:t>
          </w:r>
          <w:r w:rsidR="00A47C86">
            <w:rPr>
              <w:lang w:val="en-GB"/>
            </w:rPr>
            <w:t xml:space="preserve"> </w:t>
          </w:r>
          <w:r w:rsidRPr="00DF4E8C">
            <w:rPr>
              <w:lang w:val="en-GB"/>
            </w:rPr>
            <w:t>and healthier lives; serious head injuries are rare and the evidence in favour of helmet wearing</w:t>
          </w:r>
          <w:r w:rsidR="00A47C86">
            <w:rPr>
              <w:lang w:val="en-GB"/>
            </w:rPr>
            <w:t xml:space="preserve"> </w:t>
          </w:r>
          <w:r w:rsidRPr="00DF4E8C">
            <w:rPr>
              <w:lang w:val="en-GB"/>
            </w:rPr>
            <w:t>and helmet laws is weak. The main</w:t>
          </w:r>
          <w:r w:rsidR="00CE462B">
            <w:rPr>
              <w:lang w:val="en-GB"/>
            </w:rPr>
            <w:t xml:space="preserve"> </w:t>
          </w:r>
          <w:r w:rsidRPr="00DF4E8C">
            <w:rPr>
              <w:lang w:val="en-GB"/>
            </w:rPr>
            <w:t>effect of helmet laws has not been to improve cyclists’ safety</w:t>
          </w:r>
          <w:r w:rsidR="00A47C86">
            <w:rPr>
              <w:lang w:val="en-GB"/>
            </w:rPr>
            <w:t xml:space="preserve"> </w:t>
          </w:r>
          <w:r w:rsidRPr="00DF4E8C">
            <w:rPr>
              <w:lang w:val="en-GB"/>
            </w:rPr>
            <w:t xml:space="preserve">but to </w:t>
          </w:r>
          <w:r w:rsidRPr="004F1A0D">
            <w:rPr>
              <w:lang w:val="en-GB"/>
            </w:rPr>
            <w:t>discourage</w:t>
          </w:r>
          <w:r w:rsidRPr="004F1A0D">
            <w:rPr>
              <w:i/>
              <w:iCs/>
              <w:u w:val="single"/>
              <w:lang w:val="en-GB"/>
            </w:rPr>
            <w:t xml:space="preserve"> </w:t>
          </w:r>
          <w:r w:rsidRPr="00DF4E8C">
            <w:rPr>
              <w:lang w:val="en-GB"/>
            </w:rPr>
            <w:t xml:space="preserve">cycling, undermining </w:t>
          </w:r>
          <w:r w:rsidR="004F1A0D">
            <w:rPr>
              <w:lang w:val="en-GB"/>
            </w:rPr>
            <w:t>the</w:t>
          </w:r>
          <w:r w:rsidRPr="00DF4E8C">
            <w:rPr>
              <w:lang w:val="en-GB"/>
            </w:rPr>
            <w:t xml:space="preserve"> health and other benefits. </w:t>
          </w:r>
        </w:p>
        <w:p w14:paraId="6AF92376" w14:textId="77777777" w:rsidR="00A52C65" w:rsidRDefault="00A52C65" w:rsidP="00A52C65">
          <w:pPr>
            <w:pStyle w:val="Paragraphtext"/>
            <w:rPr>
              <w:lang w:val="en-GB"/>
            </w:rPr>
          </w:pPr>
        </w:p>
        <w:p w14:paraId="44A546E8" w14:textId="485BEB3B" w:rsidR="00A52C65" w:rsidRPr="004F1A0D" w:rsidRDefault="00A52C65" w:rsidP="00A52C65">
          <w:pPr>
            <w:pStyle w:val="Paragraphtext"/>
            <w:rPr>
              <w:i/>
              <w:iCs/>
              <w:u w:val="single"/>
              <w:lang w:val="en-GB"/>
            </w:rPr>
          </w:pPr>
          <w:r w:rsidRPr="004F1A0D">
            <w:rPr>
              <w:i/>
              <w:iCs/>
              <w:u w:val="single"/>
              <w:lang w:val="en-GB"/>
            </w:rPr>
            <w:t>Recommendations</w:t>
          </w:r>
        </w:p>
        <w:p w14:paraId="095C19B8" w14:textId="77777777" w:rsidR="00661DED" w:rsidRDefault="00661DED" w:rsidP="00A52C65">
          <w:pPr>
            <w:pStyle w:val="Paragraphtext"/>
            <w:rPr>
              <w:lang w:val="en-GB"/>
            </w:rPr>
          </w:pPr>
        </w:p>
        <w:p w14:paraId="2086A47B" w14:textId="69F25A49" w:rsidR="00661DED" w:rsidRDefault="00661DED" w:rsidP="00CE462B">
          <w:pPr>
            <w:pStyle w:val="Paragraphtext"/>
            <w:numPr>
              <w:ilvl w:val="0"/>
              <w:numId w:val="26"/>
            </w:numPr>
            <w:rPr>
              <w:lang w:val="en-GB"/>
            </w:rPr>
          </w:pPr>
          <w:r>
            <w:rPr>
              <w:lang w:val="en-GB"/>
            </w:rPr>
            <w:t>Do not promote bicycle helmet mandatory laws.</w:t>
          </w:r>
        </w:p>
        <w:p w14:paraId="7E64EE1E" w14:textId="51F0DE22" w:rsidR="00A52C65" w:rsidRDefault="00A1345A" w:rsidP="00CE462B">
          <w:pPr>
            <w:pStyle w:val="Paragraphtext"/>
            <w:numPr>
              <w:ilvl w:val="0"/>
              <w:numId w:val="26"/>
            </w:numPr>
            <w:rPr>
              <w:lang w:val="en-GB"/>
            </w:rPr>
          </w:pPr>
          <w:r w:rsidRPr="00DF4E8C">
            <w:rPr>
              <w:lang w:val="en-GB"/>
            </w:rPr>
            <w:t xml:space="preserve">Focus </w:t>
          </w:r>
          <w:r w:rsidR="00DF4E8C" w:rsidRPr="00DF4E8C">
            <w:rPr>
              <w:lang w:val="en-GB"/>
            </w:rPr>
            <w:t>on well-established measures to promote cycling and cyclists' well-being</w:t>
          </w:r>
          <w:r w:rsidR="00A52C65">
            <w:rPr>
              <w:lang w:val="en-GB"/>
            </w:rPr>
            <w:t>.</w:t>
          </w:r>
        </w:p>
        <w:p w14:paraId="06FC0E8F" w14:textId="0710900C" w:rsidR="00A52C65" w:rsidRDefault="00A1345A" w:rsidP="00CE462B">
          <w:pPr>
            <w:pStyle w:val="Paragraphtext"/>
            <w:numPr>
              <w:ilvl w:val="0"/>
              <w:numId w:val="25"/>
            </w:numPr>
            <w:rPr>
              <w:lang w:val="en-GB"/>
            </w:rPr>
          </w:pPr>
          <w:r w:rsidRPr="00DF4E8C">
            <w:rPr>
              <w:lang w:val="en-GB"/>
            </w:rPr>
            <w:t xml:space="preserve">Recognise </w:t>
          </w:r>
          <w:r w:rsidR="00DF4E8C" w:rsidRPr="00DF4E8C">
            <w:rPr>
              <w:lang w:val="en-GB"/>
            </w:rPr>
            <w:t>that the benefits of cycling far outweigh the risks</w:t>
          </w:r>
          <w:r w:rsidR="00A52C65">
            <w:rPr>
              <w:lang w:val="en-GB"/>
            </w:rPr>
            <w:t>.</w:t>
          </w:r>
        </w:p>
        <w:p w14:paraId="1D8500F6" w14:textId="31D41D36" w:rsidR="00DF4E8C" w:rsidRDefault="00A1345A" w:rsidP="00CE462B">
          <w:pPr>
            <w:pStyle w:val="Paragraphtext"/>
            <w:numPr>
              <w:ilvl w:val="0"/>
              <w:numId w:val="25"/>
            </w:numPr>
            <w:rPr>
              <w:lang w:val="en-GB"/>
            </w:rPr>
          </w:pPr>
          <w:r w:rsidRPr="00DF4E8C">
            <w:rPr>
              <w:lang w:val="en-GB"/>
            </w:rPr>
            <w:lastRenderedPageBreak/>
            <w:t>Refrain</w:t>
          </w:r>
          <w:r>
            <w:rPr>
              <w:lang w:val="en-GB"/>
            </w:rPr>
            <w:t xml:space="preserve"> </w:t>
          </w:r>
          <w:r w:rsidR="00DF4E8C" w:rsidRPr="00DF4E8C">
            <w:rPr>
              <w:lang w:val="en-GB"/>
            </w:rPr>
            <w:t>from promoting or enforcing helmet wearing</w:t>
          </w:r>
          <w:r w:rsidR="00661DED">
            <w:rPr>
              <w:lang w:val="en-GB"/>
            </w:rPr>
            <w:t xml:space="preserve"> </w:t>
          </w:r>
          <w:r w:rsidR="00DF4E8C" w:rsidRPr="00DF4E8C">
            <w:rPr>
              <w:lang w:val="en-GB"/>
            </w:rPr>
            <w:t>without sound evidence that this</w:t>
          </w:r>
          <w:r w:rsidR="00CE462B">
            <w:rPr>
              <w:lang w:val="en-GB"/>
            </w:rPr>
            <w:t xml:space="preserve"> </w:t>
          </w:r>
          <w:r w:rsidR="00DF4E8C" w:rsidRPr="00DF4E8C">
            <w:rPr>
              <w:lang w:val="en-GB"/>
            </w:rPr>
            <w:t>would be beneficial and cost-effective compared to other safety initiatives</w:t>
          </w:r>
          <w:r w:rsidR="00206B5F">
            <w:rPr>
              <w:lang w:val="en-GB"/>
            </w:rPr>
            <w:t>.</w:t>
          </w:r>
        </w:p>
        <w:p w14:paraId="4027576D" w14:textId="77EF939C" w:rsidR="00932EFE" w:rsidRPr="002707DF" w:rsidRDefault="00932EFE" w:rsidP="00CE462B">
          <w:pPr>
            <w:pStyle w:val="Paragraphtext"/>
            <w:numPr>
              <w:ilvl w:val="0"/>
              <w:numId w:val="25"/>
            </w:numPr>
            <w:rPr>
              <w:lang w:val="en-GB"/>
            </w:rPr>
          </w:pPr>
          <w:r>
            <w:rPr>
              <w:lang w:val="en-GB"/>
            </w:rPr>
            <w:t xml:space="preserve">Remove bicycle helmet from the Commission </w:t>
          </w:r>
          <w:r w:rsidR="00A1345A">
            <w:rPr>
              <w:lang w:val="en-GB"/>
            </w:rPr>
            <w:t>Road Strategy KPIs measurement</w:t>
          </w:r>
          <w:r w:rsidR="00206B5F">
            <w:rPr>
              <w:lang w:val="en-GB"/>
            </w:rPr>
            <w:t>.</w:t>
          </w:r>
        </w:p>
        <w:p w14:paraId="44BFB033" w14:textId="77777777" w:rsidR="002707DF" w:rsidRPr="002707DF" w:rsidRDefault="002707DF" w:rsidP="002707DF">
          <w:pPr>
            <w:pStyle w:val="Paragraphtext"/>
            <w:rPr>
              <w:lang w:val="en-GB"/>
            </w:rPr>
          </w:pPr>
        </w:p>
        <w:p w14:paraId="55CE2F90" w14:textId="6CA7E57D" w:rsidR="002707DF" w:rsidRPr="00411842" w:rsidRDefault="00E025BB" w:rsidP="00382588">
          <w:pPr>
            <w:pStyle w:val="ECF-Heading2"/>
            <w:rPr>
              <w:rFonts w:asciiTheme="minorHAnsi" w:hAnsiTheme="minorHAnsi"/>
              <w:color w:val="055068" w:themeColor="text1"/>
              <w:sz w:val="24"/>
            </w:rPr>
          </w:pPr>
          <w:r w:rsidRPr="00411842">
            <w:t>Other issues</w:t>
          </w:r>
        </w:p>
        <w:p w14:paraId="54F696AE" w14:textId="77777777" w:rsidR="0062489A" w:rsidRPr="00411842" w:rsidRDefault="0062489A" w:rsidP="002707DF">
          <w:pPr>
            <w:pStyle w:val="Paragraphtext"/>
            <w:rPr>
              <w:lang w:val="en-GB"/>
            </w:rPr>
          </w:pPr>
        </w:p>
        <w:p w14:paraId="620385B8" w14:textId="41DB9985" w:rsidR="002707DF" w:rsidRDefault="0062489A" w:rsidP="002707DF">
          <w:pPr>
            <w:pStyle w:val="Paragraphtext"/>
            <w:rPr>
              <w:lang w:val="en-GB"/>
            </w:rPr>
          </w:pPr>
          <w:r w:rsidRPr="00AE14CF">
            <w:rPr>
              <w:rStyle w:val="ECFboldtextChar"/>
            </w:rPr>
            <w:t>Key Performance indicators</w:t>
          </w:r>
          <w:r w:rsidR="003357B3" w:rsidRPr="00AE14CF">
            <w:rPr>
              <w:rStyle w:val="ECFboldtextChar"/>
            </w:rPr>
            <w:t xml:space="preserve"> and data</w:t>
          </w:r>
          <w:r w:rsidRPr="00411842">
            <w:rPr>
              <w:b/>
              <w:bCs/>
              <w:lang w:val="en-GB"/>
            </w:rPr>
            <w:t xml:space="preserve"> </w:t>
          </w:r>
          <w:r w:rsidR="00743790" w:rsidRPr="00411842">
            <w:rPr>
              <w:b/>
              <w:bCs/>
              <w:lang w:val="en-GB"/>
            </w:rPr>
            <w:t xml:space="preserve">- </w:t>
          </w:r>
          <w:r w:rsidRPr="00411842">
            <w:rPr>
              <w:lang w:val="en-GB"/>
            </w:rPr>
            <w:t xml:space="preserve">ECF has a list of KPIs that we think would be </w:t>
          </w:r>
          <w:r w:rsidR="003D462B" w:rsidRPr="00411842">
            <w:rPr>
              <w:lang w:val="en-GB"/>
            </w:rPr>
            <w:t>useful</w:t>
          </w:r>
          <w:r w:rsidRPr="00411842">
            <w:rPr>
              <w:lang w:val="en-GB"/>
            </w:rPr>
            <w:t xml:space="preserve"> for improving cycling safety </w:t>
          </w:r>
          <w:r w:rsidR="003D462B" w:rsidRPr="00411842">
            <w:rPr>
              <w:lang w:val="en-GB"/>
            </w:rPr>
            <w:t xml:space="preserve">in </w:t>
          </w:r>
          <w:r w:rsidR="00365431">
            <w:rPr>
              <w:lang w:val="en-GB"/>
            </w:rPr>
            <w:t>the</w:t>
          </w:r>
          <w:r w:rsidR="003D462B" w:rsidRPr="00411842">
            <w:rPr>
              <w:lang w:val="en-GB"/>
            </w:rPr>
            <w:t xml:space="preserve"> annex</w:t>
          </w:r>
          <w:r w:rsidR="002707DF" w:rsidRPr="002707DF">
            <w:rPr>
              <w:lang w:val="en-GB"/>
            </w:rPr>
            <w:t xml:space="preserve"> for cycling and walking</w:t>
          </w:r>
          <w:r w:rsidR="002D1745" w:rsidRPr="00411842">
            <w:rPr>
              <w:lang w:val="en-GB"/>
            </w:rPr>
            <w:t xml:space="preserve">. ECF would </w:t>
          </w:r>
          <w:r w:rsidR="004700AB">
            <w:rPr>
              <w:lang w:val="en-GB"/>
            </w:rPr>
            <w:t xml:space="preserve">also </w:t>
          </w:r>
          <w:r w:rsidR="002D1745" w:rsidRPr="00411842">
            <w:rPr>
              <w:lang w:val="en-GB"/>
            </w:rPr>
            <w:t xml:space="preserve">recommend </w:t>
          </w:r>
          <w:r w:rsidR="004303C4" w:rsidRPr="00411842">
            <w:rPr>
              <w:lang w:val="en-GB"/>
            </w:rPr>
            <w:t>excluding bicycle helmet use</w:t>
          </w:r>
          <w:r w:rsidR="004700AB">
            <w:rPr>
              <w:lang w:val="en-GB"/>
            </w:rPr>
            <w:t xml:space="preserve"> measurement</w:t>
          </w:r>
          <w:r w:rsidR="004303C4" w:rsidRPr="00411842">
            <w:rPr>
              <w:lang w:val="en-GB"/>
            </w:rPr>
            <w:t xml:space="preserve"> amongst the KPIs, and certainly not to be included in the targets or goals that could be forthcoming from the EU Road Safety Strategy</w:t>
          </w:r>
          <w:r w:rsidR="0072524C">
            <w:rPr>
              <w:rStyle w:val="Appelnotedebasdep"/>
              <w:lang w:val="en-GB"/>
            </w:rPr>
            <w:footnoteReference w:id="30"/>
          </w:r>
          <w:r w:rsidR="004303C4" w:rsidRPr="00411842">
            <w:rPr>
              <w:lang w:val="en-GB"/>
            </w:rPr>
            <w:t>.</w:t>
          </w:r>
          <w:r w:rsidR="006820E4">
            <w:rPr>
              <w:lang w:val="en-GB"/>
            </w:rPr>
            <w:t xml:space="preserve"> </w:t>
          </w:r>
          <w:r w:rsidR="00B52D42">
            <w:rPr>
              <w:lang w:val="en-GB"/>
            </w:rPr>
            <w:t>Given the low numbers of 3</w:t>
          </w:r>
          <w:r w:rsidR="00B52D42" w:rsidRPr="00B52D42">
            <w:rPr>
              <w:vertAlign w:val="superscript"/>
              <w:lang w:val="en-GB"/>
            </w:rPr>
            <w:t>rd</w:t>
          </w:r>
          <w:r w:rsidR="00B52D42">
            <w:rPr>
              <w:lang w:val="en-GB"/>
            </w:rPr>
            <w:t xml:space="preserve"> party crashes by pedestrians and cyclists, we would recommend cycling and pedestrian modal shift numbers </w:t>
          </w:r>
          <w:r w:rsidR="006B0D05">
            <w:rPr>
              <w:lang w:val="en-GB"/>
            </w:rPr>
            <w:t xml:space="preserve">to also be considered as safety indicators. </w:t>
          </w:r>
        </w:p>
        <w:p w14:paraId="148AD260" w14:textId="2CB56D9D" w:rsidR="006820E4" w:rsidRDefault="006820E4" w:rsidP="002707DF">
          <w:pPr>
            <w:pStyle w:val="Paragraphtext"/>
            <w:rPr>
              <w:lang w:val="en-GB"/>
            </w:rPr>
          </w:pPr>
        </w:p>
        <w:p w14:paraId="3C34DC30" w14:textId="2B0300AE" w:rsidR="006820E4" w:rsidRDefault="006820E4" w:rsidP="006820E4">
          <w:pPr>
            <w:pStyle w:val="Paragraphtext"/>
            <w:rPr>
              <w:lang w:val="en-GB"/>
            </w:rPr>
          </w:pPr>
          <w:r w:rsidRPr="002707DF">
            <w:rPr>
              <w:lang w:val="en-GB"/>
            </w:rPr>
            <w:t xml:space="preserve">We do not have clear ideas concerning single bicycle crashes, we do not have a clear idea of serious injuries. We do not know how many or how often people are cycling and therefore we have no idea of the risk of cycling in each country. We know how many cyclists are killed at night in the various EU countries but as we have no idea how many are cycling at </w:t>
          </w:r>
          <w:r w:rsidR="00695F29" w:rsidRPr="002707DF">
            <w:rPr>
              <w:lang w:val="en-GB"/>
            </w:rPr>
            <w:t>night</w:t>
          </w:r>
          <w:r w:rsidR="00695F29">
            <w:rPr>
              <w:lang w:val="en-GB"/>
            </w:rPr>
            <w:t xml:space="preserve"> </w:t>
          </w:r>
          <w:r w:rsidRPr="002707DF">
            <w:rPr>
              <w:lang w:val="en-GB"/>
            </w:rPr>
            <w:t>we have no idea if this is a risky problem area for cyclists.</w:t>
          </w:r>
          <w:r>
            <w:rPr>
              <w:lang w:val="en-GB"/>
            </w:rPr>
            <w:t xml:space="preserve"> </w:t>
          </w:r>
        </w:p>
        <w:p w14:paraId="52EFE13F" w14:textId="77777777" w:rsidR="006820E4" w:rsidRPr="002707DF" w:rsidRDefault="006820E4" w:rsidP="006820E4">
          <w:pPr>
            <w:pStyle w:val="Paragraphtext"/>
            <w:rPr>
              <w:lang w:val="en-GB"/>
            </w:rPr>
          </w:pPr>
        </w:p>
        <w:p w14:paraId="473AF77A" w14:textId="7A636A2D" w:rsidR="006820E4" w:rsidRPr="00411842" w:rsidRDefault="006820E4" w:rsidP="002707DF">
          <w:pPr>
            <w:pStyle w:val="Paragraphtext"/>
            <w:rPr>
              <w:lang w:val="en-GB"/>
            </w:rPr>
          </w:pPr>
          <w:r w:rsidRPr="002707DF">
            <w:rPr>
              <w:lang w:val="en-GB"/>
            </w:rPr>
            <w:t>The paucity of data makes it very hard to mak</w:t>
          </w:r>
          <w:r>
            <w:rPr>
              <w:lang w:val="en-GB"/>
            </w:rPr>
            <w:t>e important</w:t>
          </w:r>
          <w:r w:rsidRPr="002707DF">
            <w:rPr>
              <w:lang w:val="en-GB"/>
            </w:rPr>
            <w:t xml:space="preserve"> policy decision and strategies to improve cycling safety. We know that HGVs and large vehicles are dangerous for cyclists, but is this a problem in urban areas or on long distance straight </w:t>
          </w:r>
          <w:r>
            <w:rPr>
              <w:lang w:val="en-GB"/>
            </w:rPr>
            <w:t xml:space="preserve">rural </w:t>
          </w:r>
          <w:r w:rsidRPr="002707DF">
            <w:rPr>
              <w:lang w:val="en-GB"/>
            </w:rPr>
            <w:t>routes? What type of large vehicles are involved, articulated trucks or smaller rigid lorries? Construction trucks? The complete lack of data that member states collect is making it difficult to come up with clear transport safety policy.</w:t>
          </w:r>
        </w:p>
        <w:p w14:paraId="0D99454A" w14:textId="77777777" w:rsidR="00D570C2" w:rsidRPr="00411842" w:rsidRDefault="00D570C2" w:rsidP="002707DF">
          <w:pPr>
            <w:pStyle w:val="Paragraphtext"/>
            <w:rPr>
              <w:lang w:val="en-GB"/>
            </w:rPr>
          </w:pPr>
        </w:p>
        <w:p w14:paraId="3235D373" w14:textId="2D534ECF" w:rsidR="00743790" w:rsidRPr="004F1A0D" w:rsidRDefault="00743790" w:rsidP="00743790">
          <w:pPr>
            <w:pStyle w:val="Paragraphtext"/>
            <w:rPr>
              <w:i/>
              <w:iCs/>
              <w:u w:val="single"/>
              <w:lang w:val="en-GB"/>
            </w:rPr>
          </w:pPr>
          <w:r w:rsidRPr="004F1A0D">
            <w:rPr>
              <w:i/>
              <w:iCs/>
              <w:u w:val="single"/>
              <w:lang w:val="en-GB"/>
            </w:rPr>
            <w:t>Recommendations</w:t>
          </w:r>
        </w:p>
        <w:p w14:paraId="7003200E" w14:textId="77777777" w:rsidR="00661DED" w:rsidRPr="002707DF" w:rsidRDefault="00661DED" w:rsidP="00743790">
          <w:pPr>
            <w:pStyle w:val="Paragraphtext"/>
            <w:rPr>
              <w:lang w:val="en-GB"/>
            </w:rPr>
          </w:pPr>
        </w:p>
        <w:p w14:paraId="15642DA5" w14:textId="0D69454A" w:rsidR="00DE2854" w:rsidRPr="00B00273" w:rsidRDefault="00DE2854" w:rsidP="00B00273">
          <w:pPr>
            <w:pStyle w:val="Paragraphtext"/>
            <w:numPr>
              <w:ilvl w:val="0"/>
              <w:numId w:val="11"/>
            </w:numPr>
            <w:rPr>
              <w:lang w:val="en-GB"/>
            </w:rPr>
          </w:pPr>
          <w:r>
            <w:rPr>
              <w:lang w:val="en-GB"/>
            </w:rPr>
            <w:t xml:space="preserve">It is crucial that </w:t>
          </w:r>
          <w:r w:rsidR="009268ED">
            <w:rPr>
              <w:lang w:val="en-GB"/>
            </w:rPr>
            <w:t>Member States know the extent of cycling in their countries. Not only to understand risk</w:t>
          </w:r>
          <w:r w:rsidR="00CD7247">
            <w:rPr>
              <w:lang w:val="en-GB"/>
            </w:rPr>
            <w:t xml:space="preserve"> of cycling in various environments but also to plan </w:t>
          </w:r>
          <w:r w:rsidR="00BB637E">
            <w:rPr>
              <w:lang w:val="en-GB"/>
            </w:rPr>
            <w:t>for cycling investments</w:t>
          </w:r>
          <w:r w:rsidR="00206B5F">
            <w:rPr>
              <w:lang w:val="en-GB"/>
            </w:rPr>
            <w:t>.</w:t>
          </w:r>
          <w:r w:rsidR="00B00273" w:rsidRPr="00B00273">
            <w:rPr>
              <w:lang w:val="en-GB"/>
            </w:rPr>
            <w:t xml:space="preserve"> </w:t>
          </w:r>
          <w:r w:rsidR="00B00273" w:rsidRPr="002707DF">
            <w:rPr>
              <w:lang w:val="en-GB"/>
            </w:rPr>
            <w:t xml:space="preserve">Exposure data is </w:t>
          </w:r>
          <w:r w:rsidR="00B00273">
            <w:rPr>
              <w:lang w:val="en-GB"/>
            </w:rPr>
            <w:t>crucial here.</w:t>
          </w:r>
          <w:r w:rsidR="00B00273" w:rsidRPr="002707DF">
            <w:rPr>
              <w:lang w:val="en-GB"/>
            </w:rPr>
            <w:t xml:space="preserve"> Member States should collect data on kms or time travelled on various modes to track modal shift, transport risks and other key metrics</w:t>
          </w:r>
          <w:r w:rsidR="00B00273">
            <w:rPr>
              <w:lang w:val="en-GB"/>
            </w:rPr>
            <w:t>.</w:t>
          </w:r>
        </w:p>
        <w:p w14:paraId="55FDA35D" w14:textId="79777C7C" w:rsidR="00743790" w:rsidRPr="002707DF" w:rsidRDefault="00743790" w:rsidP="00743790">
          <w:pPr>
            <w:pStyle w:val="Paragraphtext"/>
            <w:numPr>
              <w:ilvl w:val="0"/>
              <w:numId w:val="11"/>
            </w:numPr>
            <w:rPr>
              <w:lang w:val="en-GB"/>
            </w:rPr>
          </w:pPr>
          <w:r w:rsidRPr="002707DF">
            <w:rPr>
              <w:lang w:val="en-GB"/>
            </w:rPr>
            <w:t>A priority</w:t>
          </w:r>
          <w:r w:rsidRPr="00411842">
            <w:rPr>
              <w:lang w:val="en-GB"/>
            </w:rPr>
            <w:t xml:space="preserve"> ordering</w:t>
          </w:r>
          <w:r w:rsidRPr="002707DF">
            <w:rPr>
              <w:lang w:val="en-GB"/>
            </w:rPr>
            <w:t xml:space="preserve"> should be made of the current list of EU KPIs</w:t>
          </w:r>
          <w:r w:rsidRPr="00411842">
            <w:rPr>
              <w:lang w:val="en-GB"/>
            </w:rPr>
            <w:t xml:space="preserve">, with </w:t>
          </w:r>
          <w:r w:rsidRPr="002707DF">
            <w:rPr>
              <w:lang w:val="en-GB"/>
            </w:rPr>
            <w:t>speed at the top of the list,</w:t>
          </w:r>
          <w:r w:rsidRPr="00411842">
            <w:rPr>
              <w:lang w:val="en-GB"/>
            </w:rPr>
            <w:t xml:space="preserve"> bicycle helmet use is not necessarily measuring a safety indicator and should be dropped</w:t>
          </w:r>
          <w:r w:rsidR="00206B5F">
            <w:rPr>
              <w:lang w:val="en-GB"/>
            </w:rPr>
            <w:t>.</w:t>
          </w:r>
        </w:p>
        <w:p w14:paraId="537EE5C6" w14:textId="296742B9" w:rsidR="002707DF" w:rsidRPr="002707DF" w:rsidRDefault="00743790" w:rsidP="00743790">
          <w:pPr>
            <w:pStyle w:val="Paragraphtext"/>
            <w:numPr>
              <w:ilvl w:val="0"/>
              <w:numId w:val="11"/>
            </w:numPr>
            <w:rPr>
              <w:lang w:val="en-GB"/>
            </w:rPr>
          </w:pPr>
          <w:r w:rsidRPr="002707DF">
            <w:rPr>
              <w:lang w:val="en-GB"/>
            </w:rPr>
            <w:t xml:space="preserve">Adoption of specific targets to reduce deaths and serious injuries of vulnerable road </w:t>
          </w:r>
          <w:r w:rsidR="002707DF" w:rsidRPr="002707DF">
            <w:rPr>
              <w:lang w:val="en-GB"/>
            </w:rPr>
            <w:t>users</w:t>
          </w:r>
          <w:r w:rsidR="00206B5F">
            <w:rPr>
              <w:lang w:val="en-GB"/>
            </w:rPr>
            <w:t>.</w:t>
          </w:r>
        </w:p>
        <w:p w14:paraId="1A9FDFA0" w14:textId="77777777" w:rsidR="00743790" w:rsidRPr="00411842" w:rsidRDefault="00743790" w:rsidP="002707DF">
          <w:pPr>
            <w:pStyle w:val="Paragraphtext"/>
            <w:rPr>
              <w:lang w:val="en-GB"/>
            </w:rPr>
          </w:pPr>
        </w:p>
        <w:p w14:paraId="0FCF5157" w14:textId="1F872032" w:rsidR="00D570C2" w:rsidRPr="00411842" w:rsidRDefault="00D570C2" w:rsidP="002707DF">
          <w:pPr>
            <w:pStyle w:val="Paragraphtext"/>
            <w:rPr>
              <w:lang w:val="en-GB"/>
            </w:rPr>
          </w:pPr>
          <w:r w:rsidRPr="00AE14CF">
            <w:rPr>
              <w:rStyle w:val="ECFboldtextChar"/>
            </w:rPr>
            <w:t>Drugs and alcohol</w:t>
          </w:r>
          <w:r w:rsidR="00795519" w:rsidRPr="00411842">
            <w:rPr>
              <w:lang w:val="en-GB"/>
            </w:rPr>
            <w:t xml:space="preserve"> – around 25% of </w:t>
          </w:r>
          <w:r w:rsidR="00A87C3A" w:rsidRPr="00411842">
            <w:rPr>
              <w:lang w:val="en-GB"/>
            </w:rPr>
            <w:t>road fatalities are linked to drink-driving</w:t>
          </w:r>
          <w:r w:rsidR="00A87C3A" w:rsidRPr="00411842">
            <w:rPr>
              <w:rStyle w:val="Appelnotedebasdep"/>
              <w:lang w:val="en-GB"/>
            </w:rPr>
            <w:footnoteReference w:id="31"/>
          </w:r>
          <w:r w:rsidR="00994B47" w:rsidRPr="00411842">
            <w:rPr>
              <w:lang w:val="en-GB"/>
            </w:rPr>
            <w:t xml:space="preserve">, and </w:t>
          </w:r>
          <w:r w:rsidR="00A8048D" w:rsidRPr="00411842">
            <w:rPr>
              <w:lang w:val="en-GB"/>
            </w:rPr>
            <w:t>around 15% are linked to drug-driving</w:t>
          </w:r>
          <w:r w:rsidR="00394AE8" w:rsidRPr="00411842">
            <w:rPr>
              <w:rStyle w:val="Appelnotedebasdep"/>
              <w:lang w:val="en-GB"/>
            </w:rPr>
            <w:footnoteReference w:id="32"/>
          </w:r>
          <w:r w:rsidR="00F00E31" w:rsidRPr="00411842">
            <w:rPr>
              <w:lang w:val="en-GB"/>
            </w:rPr>
            <w:t xml:space="preserve">, it is important that this behaviour is curtailed for all road users but especially for those with large, powerful vehicles. </w:t>
          </w:r>
        </w:p>
        <w:p w14:paraId="1DEAD83C" w14:textId="557646DE" w:rsidR="00F00E31" w:rsidRPr="00411842" w:rsidRDefault="00F00E31" w:rsidP="002707DF">
          <w:pPr>
            <w:pStyle w:val="Paragraphtext"/>
            <w:rPr>
              <w:lang w:val="en-GB"/>
            </w:rPr>
          </w:pPr>
        </w:p>
        <w:p w14:paraId="3589A105" w14:textId="1B791BC4" w:rsidR="00F00E31" w:rsidRPr="004F1A0D" w:rsidRDefault="00F00E31" w:rsidP="002707DF">
          <w:pPr>
            <w:pStyle w:val="Paragraphtext"/>
            <w:rPr>
              <w:i/>
              <w:iCs/>
              <w:u w:val="single"/>
              <w:lang w:val="en-GB"/>
            </w:rPr>
          </w:pPr>
          <w:r w:rsidRPr="004F1A0D">
            <w:rPr>
              <w:i/>
              <w:iCs/>
              <w:u w:val="single"/>
              <w:lang w:val="en-GB"/>
            </w:rPr>
            <w:lastRenderedPageBreak/>
            <w:t>Recommendations</w:t>
          </w:r>
        </w:p>
        <w:p w14:paraId="102AE654" w14:textId="77777777" w:rsidR="00661DED" w:rsidRPr="00411842" w:rsidRDefault="00661DED" w:rsidP="002707DF">
          <w:pPr>
            <w:pStyle w:val="Paragraphtext"/>
            <w:rPr>
              <w:lang w:val="en-GB"/>
            </w:rPr>
          </w:pPr>
        </w:p>
        <w:p w14:paraId="23D30539" w14:textId="307DC890" w:rsidR="00F00E31" w:rsidRPr="00411842" w:rsidRDefault="00F00E31" w:rsidP="00F00E31">
          <w:pPr>
            <w:pStyle w:val="Paragraphtext"/>
            <w:numPr>
              <w:ilvl w:val="0"/>
              <w:numId w:val="17"/>
            </w:numPr>
            <w:rPr>
              <w:lang w:val="en-GB"/>
            </w:rPr>
          </w:pPr>
          <w:r w:rsidRPr="00411842">
            <w:rPr>
              <w:lang w:val="en-GB"/>
            </w:rPr>
            <w:t xml:space="preserve">Propose an EU wide zero (or at least 0.2% BAC) tolerance for all </w:t>
          </w:r>
          <w:r w:rsidR="00477B4B" w:rsidRPr="00411842">
            <w:rPr>
              <w:lang w:val="en-GB"/>
            </w:rPr>
            <w:t>drivers.</w:t>
          </w:r>
        </w:p>
        <w:p w14:paraId="31E218A8" w14:textId="6C920479" w:rsidR="00477B4B" w:rsidRPr="00411842" w:rsidRDefault="00477B4B" w:rsidP="00F00E31">
          <w:pPr>
            <w:pStyle w:val="Paragraphtext"/>
            <w:numPr>
              <w:ilvl w:val="0"/>
              <w:numId w:val="17"/>
            </w:numPr>
            <w:rPr>
              <w:lang w:val="en-GB"/>
            </w:rPr>
          </w:pPr>
          <w:r w:rsidRPr="00411842">
            <w:rPr>
              <w:lang w:val="en-GB"/>
            </w:rPr>
            <w:t>Mandate the use of alcolock devices for all recidivist drivers, and professional drivers.</w:t>
          </w:r>
        </w:p>
        <w:p w14:paraId="4AA7F390" w14:textId="4AC78366" w:rsidR="00AB7C94" w:rsidRPr="00AB77B3" w:rsidRDefault="001D76A2" w:rsidP="00AB7C94">
          <w:pPr>
            <w:pStyle w:val="Paragraphtext"/>
            <w:numPr>
              <w:ilvl w:val="0"/>
              <w:numId w:val="17"/>
            </w:numPr>
            <w:rPr>
              <w:lang w:val="en-GB"/>
            </w:rPr>
          </w:pPr>
          <w:r w:rsidRPr="00411842">
            <w:rPr>
              <w:lang w:val="en-GB"/>
            </w:rPr>
            <w:t xml:space="preserve">Put in place a standard for </w:t>
          </w:r>
          <w:r w:rsidR="00480C2C" w:rsidRPr="00411842">
            <w:rPr>
              <w:lang w:val="en-GB"/>
            </w:rPr>
            <w:t>roadside checks and enforcement</w:t>
          </w:r>
          <w:r w:rsidR="009105D1">
            <w:rPr>
              <w:lang w:val="en-GB"/>
            </w:rPr>
            <w:t xml:space="preserve">, including all </w:t>
          </w:r>
          <w:r w:rsidR="006F0863">
            <w:rPr>
              <w:lang w:val="en-GB"/>
            </w:rPr>
            <w:t xml:space="preserve">for all </w:t>
          </w:r>
          <w:r w:rsidR="006F0863" w:rsidRPr="006F0863">
            <w:rPr>
              <w:lang w:val="en-GB"/>
            </w:rPr>
            <w:t>illicit psychoactive drugs</w:t>
          </w:r>
          <w:r w:rsidR="006F0863">
            <w:rPr>
              <w:lang w:val="en-GB"/>
            </w:rPr>
            <w:t>.</w:t>
          </w:r>
        </w:p>
        <w:p w14:paraId="7D9D5A48" w14:textId="189D8581" w:rsidR="00AB7C94" w:rsidRPr="00411842" w:rsidRDefault="00AB7C94" w:rsidP="00AB7C94">
          <w:pPr>
            <w:pStyle w:val="Paragraphtext"/>
            <w:rPr>
              <w:lang w:val="en-GB"/>
            </w:rPr>
          </w:pPr>
        </w:p>
        <w:p w14:paraId="6C4FD5C2" w14:textId="06ED4F6A" w:rsidR="008528BD" w:rsidRPr="00411842" w:rsidRDefault="00AB7C94" w:rsidP="00AB7C94">
          <w:pPr>
            <w:pStyle w:val="Paragraphtext"/>
            <w:rPr>
              <w:lang w:val="en-GB"/>
            </w:rPr>
          </w:pPr>
          <w:r w:rsidRPr="00AE14CF">
            <w:rPr>
              <w:rStyle w:val="ECFboldtextChar"/>
            </w:rPr>
            <w:t>Professional transport</w:t>
          </w:r>
          <w:r w:rsidRPr="00AA082A">
            <w:rPr>
              <w:b/>
              <w:bCs/>
              <w:i/>
              <w:iCs/>
              <w:u w:val="single"/>
              <w:lang w:val="en-GB"/>
            </w:rPr>
            <w:t xml:space="preserve"> </w:t>
          </w:r>
          <w:r w:rsidR="00AA082A" w:rsidRPr="00AA082A">
            <w:rPr>
              <w:lang w:val="en-GB"/>
            </w:rPr>
            <w:t xml:space="preserve">- </w:t>
          </w:r>
          <w:r w:rsidR="003C15A0" w:rsidRPr="00AA082A">
            <w:rPr>
              <w:lang w:val="en-GB"/>
            </w:rPr>
            <w:t>Trucks</w:t>
          </w:r>
          <w:r w:rsidR="00BF7102" w:rsidRPr="00411842">
            <w:rPr>
              <w:lang w:val="en-GB"/>
            </w:rPr>
            <w:t>, vans</w:t>
          </w:r>
          <w:r w:rsidR="003C15A0" w:rsidRPr="00411842">
            <w:rPr>
              <w:lang w:val="en-GB"/>
            </w:rPr>
            <w:t xml:space="preserve"> and buses will be increasing on our roads given the current direction of th</w:t>
          </w:r>
          <w:r w:rsidR="00CB6FF1" w:rsidRPr="00411842">
            <w:rPr>
              <w:lang w:val="en-GB"/>
            </w:rPr>
            <w:t xml:space="preserve">e </w:t>
          </w:r>
          <w:r w:rsidR="003C15A0" w:rsidRPr="00411842">
            <w:rPr>
              <w:lang w:val="en-GB"/>
            </w:rPr>
            <w:t>economy and transport policy. Cyclists as well will be increasing given the</w:t>
          </w:r>
          <w:r w:rsidR="00A72CBA" w:rsidRPr="00411842">
            <w:rPr>
              <w:lang w:val="en-GB"/>
            </w:rPr>
            <w:t xml:space="preserve"> health and environmental situations that </w:t>
          </w:r>
          <w:r w:rsidR="00CB6FF1" w:rsidRPr="00411842">
            <w:rPr>
              <w:lang w:val="en-GB"/>
            </w:rPr>
            <w:t>Governments</w:t>
          </w:r>
          <w:r w:rsidR="00A72CBA" w:rsidRPr="00411842">
            <w:rPr>
              <w:lang w:val="en-GB"/>
            </w:rPr>
            <w:t xml:space="preserve"> are being faced with. These vehicles will then be coming more and </w:t>
          </w:r>
          <w:r w:rsidR="00972066">
            <w:rPr>
              <w:lang w:val="en-GB"/>
            </w:rPr>
            <w:t>m</w:t>
          </w:r>
          <w:r w:rsidR="00A72CBA" w:rsidRPr="00411842">
            <w:rPr>
              <w:lang w:val="en-GB"/>
            </w:rPr>
            <w:t>ore in contact.</w:t>
          </w:r>
          <w:r w:rsidR="002F40E3" w:rsidRPr="00411842">
            <w:rPr>
              <w:lang w:val="en-GB"/>
            </w:rPr>
            <w:t xml:space="preserve"> The drivers of these vehicles should that often face long hours on the road before entering urban areas should be as rested and the least stressed as possible. </w:t>
          </w:r>
        </w:p>
        <w:p w14:paraId="1B10EE4E" w14:textId="77777777" w:rsidR="008528BD" w:rsidRPr="00411842" w:rsidRDefault="008528BD" w:rsidP="00AB7C94">
          <w:pPr>
            <w:pStyle w:val="Paragraphtext"/>
            <w:rPr>
              <w:lang w:val="en-GB"/>
            </w:rPr>
          </w:pPr>
        </w:p>
        <w:p w14:paraId="283F5A5E" w14:textId="42F1B684" w:rsidR="008528BD" w:rsidRPr="004F1A0D" w:rsidRDefault="008528BD" w:rsidP="00AB7C94">
          <w:pPr>
            <w:pStyle w:val="Paragraphtext"/>
            <w:rPr>
              <w:i/>
              <w:iCs/>
              <w:u w:val="single"/>
              <w:lang w:val="en-GB"/>
            </w:rPr>
          </w:pPr>
          <w:r w:rsidRPr="004F1A0D">
            <w:rPr>
              <w:i/>
              <w:iCs/>
              <w:u w:val="single"/>
              <w:lang w:val="en-GB"/>
            </w:rPr>
            <w:t>Recommendations</w:t>
          </w:r>
        </w:p>
        <w:p w14:paraId="4DF3C27D" w14:textId="77777777" w:rsidR="00661DED" w:rsidRPr="00411842" w:rsidRDefault="00661DED" w:rsidP="00AB7C94">
          <w:pPr>
            <w:pStyle w:val="Paragraphtext"/>
            <w:rPr>
              <w:lang w:val="en-GB"/>
            </w:rPr>
          </w:pPr>
        </w:p>
        <w:p w14:paraId="40C9F449" w14:textId="0E67373B" w:rsidR="006A6417" w:rsidRPr="00411842" w:rsidRDefault="00C27DF7" w:rsidP="006A6417">
          <w:pPr>
            <w:pStyle w:val="Paragraphtext"/>
            <w:numPr>
              <w:ilvl w:val="0"/>
              <w:numId w:val="18"/>
            </w:numPr>
            <w:jc w:val="left"/>
            <w:rPr>
              <w:lang w:val="en-GB"/>
            </w:rPr>
          </w:pPr>
          <w:r w:rsidRPr="00411842">
            <w:rPr>
              <w:lang w:val="en-GB"/>
            </w:rPr>
            <w:t>The EU should work towards consistent levels of enforcement of working time across the EU</w:t>
          </w:r>
          <w:r w:rsidR="006A6417" w:rsidRPr="00411842">
            <w:rPr>
              <w:lang w:val="en-GB"/>
            </w:rPr>
            <w:t>.</w:t>
          </w:r>
        </w:p>
        <w:p w14:paraId="28BE9891" w14:textId="25256167" w:rsidR="006A6417" w:rsidRPr="00411842" w:rsidRDefault="006A6417" w:rsidP="006A6417">
          <w:pPr>
            <w:pStyle w:val="Paragraphtext"/>
            <w:numPr>
              <w:ilvl w:val="0"/>
              <w:numId w:val="18"/>
            </w:numPr>
            <w:jc w:val="left"/>
            <w:rPr>
              <w:lang w:val="en-GB"/>
            </w:rPr>
          </w:pPr>
          <w:r w:rsidRPr="00411842">
            <w:rPr>
              <w:lang w:val="en-GB"/>
            </w:rPr>
            <w:t xml:space="preserve">The EU should support efforts to counter </w:t>
          </w:r>
          <w:r w:rsidR="00BF7102" w:rsidRPr="00411842">
            <w:rPr>
              <w:lang w:val="en-GB"/>
            </w:rPr>
            <w:t>fraudulent use of tachographs</w:t>
          </w:r>
          <w:r w:rsidR="00382588" w:rsidRPr="00411842">
            <w:rPr>
              <w:lang w:val="en-GB"/>
            </w:rPr>
            <w:t>.</w:t>
          </w:r>
        </w:p>
        <w:p w14:paraId="5C47FB4A" w14:textId="4B58B505" w:rsidR="00FD1BFF" w:rsidRPr="00411842" w:rsidRDefault="00FD1BFF" w:rsidP="00B5708E">
          <w:pPr>
            <w:pStyle w:val="Paragraphtext"/>
            <w:numPr>
              <w:ilvl w:val="0"/>
              <w:numId w:val="18"/>
            </w:numPr>
            <w:jc w:val="left"/>
            <w:rPr>
              <w:lang w:val="en-GB"/>
            </w:rPr>
          </w:pPr>
          <w:r w:rsidRPr="00411842">
            <w:rPr>
              <w:lang w:val="en-GB"/>
            </w:rPr>
            <w:t>Revise the Driving Licence Directive 2006/126 to mandate provisions set out for Group 2 drivers to apply to drivers of Category B vehicles using their driving licence for professional purposes</w:t>
          </w:r>
          <w:r w:rsidR="00382588" w:rsidRPr="00411842">
            <w:rPr>
              <w:lang w:val="en-GB"/>
            </w:rPr>
            <w:t>.</w:t>
          </w:r>
        </w:p>
        <w:p w14:paraId="7C9DE376" w14:textId="17D7C2CB" w:rsidR="00FD1BFF" w:rsidRPr="00411842" w:rsidRDefault="00FD1BFF" w:rsidP="00B5708E">
          <w:pPr>
            <w:pStyle w:val="Paragraphtext"/>
            <w:numPr>
              <w:ilvl w:val="0"/>
              <w:numId w:val="18"/>
            </w:numPr>
            <w:jc w:val="left"/>
            <w:rPr>
              <w:lang w:val="en-GB"/>
            </w:rPr>
          </w:pPr>
          <w:r w:rsidRPr="00411842">
            <w:rPr>
              <w:lang w:val="en-GB"/>
            </w:rPr>
            <w:t xml:space="preserve">Van drivers should be subject to </w:t>
          </w:r>
          <w:r w:rsidR="000C2098" w:rsidRPr="00411842">
            <w:rPr>
              <w:lang w:val="en-GB"/>
            </w:rPr>
            <w:t>professional driving training</w:t>
          </w:r>
          <w:r w:rsidR="00382588" w:rsidRPr="00411842">
            <w:rPr>
              <w:lang w:val="en-GB"/>
            </w:rPr>
            <w:t>.</w:t>
          </w:r>
        </w:p>
        <w:p w14:paraId="29DB28F7" w14:textId="6A2C943D" w:rsidR="00B33F52" w:rsidRPr="002707DF" w:rsidRDefault="000C2098" w:rsidP="00B33F52">
          <w:pPr>
            <w:pStyle w:val="Paragraphtext"/>
            <w:numPr>
              <w:ilvl w:val="0"/>
              <w:numId w:val="18"/>
            </w:numPr>
            <w:jc w:val="left"/>
            <w:rPr>
              <w:lang w:val="en-GB"/>
            </w:rPr>
          </w:pPr>
          <w:r w:rsidRPr="00411842">
            <w:rPr>
              <w:lang w:val="en-GB"/>
            </w:rPr>
            <w:t>All vans should be fitted with top speed limiters</w:t>
          </w:r>
          <w:r w:rsidR="00382588" w:rsidRPr="00411842">
            <w:rPr>
              <w:lang w:val="en-GB"/>
            </w:rPr>
            <w:t>.</w:t>
          </w:r>
        </w:p>
        <w:p w14:paraId="5A11F904" w14:textId="77777777" w:rsidR="003D462B" w:rsidRPr="00411842" w:rsidRDefault="003D462B" w:rsidP="002707DF">
          <w:pPr>
            <w:pStyle w:val="Paragraphtext"/>
            <w:rPr>
              <w:lang w:val="en-GB"/>
            </w:rPr>
          </w:pPr>
        </w:p>
        <w:p w14:paraId="78159CB2" w14:textId="77777777" w:rsidR="00B33F52" w:rsidRDefault="00B33F52">
          <w:pPr>
            <w:rPr>
              <w:rFonts w:asciiTheme="minorHAnsi" w:hAnsiTheme="minorHAnsi"/>
              <w:color w:val="055068" w:themeColor="text1"/>
              <w:sz w:val="24"/>
            </w:rPr>
          </w:pPr>
          <w:r>
            <w:br w:type="page"/>
          </w:r>
        </w:p>
        <w:p w14:paraId="01CEDCF9" w14:textId="7A2EFFBB" w:rsidR="00CB40CA" w:rsidRPr="00411842" w:rsidRDefault="00B00273" w:rsidP="00DA162D">
          <w:pPr>
            <w:pStyle w:val="Paragraphtext"/>
            <w:rPr>
              <w:lang w:val="en-GB"/>
            </w:rPr>
          </w:pPr>
        </w:p>
      </w:sdtContent>
    </w:sdt>
    <w:p w14:paraId="6A275428" w14:textId="35AB26E8" w:rsidR="002A73A6" w:rsidRPr="00411842" w:rsidRDefault="00DA162D" w:rsidP="00382588">
      <w:pPr>
        <w:pStyle w:val="ECF-Heading2"/>
      </w:pPr>
      <w:r w:rsidRPr="00411842">
        <w:t>ANNEX</w:t>
      </w:r>
    </w:p>
    <w:p w14:paraId="4B4F886E" w14:textId="32A03890" w:rsidR="00DA162D" w:rsidRPr="00411842" w:rsidRDefault="00DA162D" w:rsidP="00DA162D">
      <w:pPr>
        <w:pStyle w:val="Paragraphtext"/>
        <w:rPr>
          <w:lang w:val="en-GB"/>
        </w:rPr>
      </w:pPr>
    </w:p>
    <w:p w14:paraId="611E5998" w14:textId="643D9E2F" w:rsidR="00DA162D" w:rsidRPr="00411842" w:rsidRDefault="00DA162D" w:rsidP="00B33F52">
      <w:pPr>
        <w:pStyle w:val="ECFboldtext"/>
        <w:numPr>
          <w:ilvl w:val="0"/>
          <w:numId w:val="31"/>
        </w:numPr>
        <w:rPr>
          <w:color w:val="055068" w:themeColor="text1"/>
          <w:szCs w:val="18"/>
        </w:rPr>
      </w:pPr>
      <w:r w:rsidRPr="00B33F52">
        <w:rPr>
          <w:rStyle w:val="ECFboldtextChar"/>
          <w:lang w:val="en-GB"/>
        </w:rPr>
        <w:t xml:space="preserve">ECF can recommend these following road safety </w:t>
      </w:r>
      <w:r w:rsidR="00061F99">
        <w:rPr>
          <w:rStyle w:val="ECFboldtextChar"/>
          <w:lang w:val="en-GB"/>
        </w:rPr>
        <w:t>Key Performance Indicators (KPIs)</w:t>
      </w:r>
      <w:r w:rsidRPr="00B33F52">
        <w:rPr>
          <w:rStyle w:val="ECFboldtextChar"/>
          <w:lang w:val="en-GB"/>
        </w:rPr>
        <w:t xml:space="preserve"> specifically for cycling</w:t>
      </w:r>
      <w:r w:rsidRPr="00411842">
        <w:rPr>
          <w:color w:val="055068" w:themeColor="text1"/>
          <w:szCs w:val="18"/>
        </w:rPr>
        <w:t>.</w:t>
      </w:r>
    </w:p>
    <w:p w14:paraId="645FF708" w14:textId="77777777" w:rsidR="00DA162D" w:rsidRPr="00411842" w:rsidRDefault="00DA162D" w:rsidP="00DA162D">
      <w:pPr>
        <w:pStyle w:val="Paragraphtext"/>
        <w:jc w:val="left"/>
        <w:rPr>
          <w:color w:val="auto"/>
          <w:sz w:val="22"/>
          <w:szCs w:val="22"/>
          <w:lang w:val="en-GB"/>
        </w:rPr>
      </w:pPr>
    </w:p>
    <w:tbl>
      <w:tblPr>
        <w:tblStyle w:val="Grilledutableau"/>
        <w:tblW w:w="0" w:type="auto"/>
        <w:shd w:val="clear" w:color="auto" w:fill="EFF5D5" w:themeFill="accent2" w:themeFillTint="33"/>
        <w:tblLook w:val="04A0" w:firstRow="1" w:lastRow="0" w:firstColumn="1" w:lastColumn="0" w:noHBand="0" w:noVBand="1"/>
      </w:tblPr>
      <w:tblGrid>
        <w:gridCol w:w="3220"/>
        <w:gridCol w:w="3425"/>
        <w:gridCol w:w="3014"/>
      </w:tblGrid>
      <w:tr w:rsidR="00DA162D" w:rsidRPr="00411842" w14:paraId="363729D1" w14:textId="77777777" w:rsidTr="006F3BB6">
        <w:tc>
          <w:tcPr>
            <w:tcW w:w="3220" w:type="dxa"/>
            <w:tcBorders>
              <w:top w:val="double" w:sz="4" w:space="0" w:color="auto"/>
              <w:left w:val="double" w:sz="4" w:space="0" w:color="auto"/>
              <w:bottom w:val="double" w:sz="4" w:space="0" w:color="auto"/>
              <w:right w:val="double" w:sz="4" w:space="0" w:color="auto"/>
            </w:tcBorders>
            <w:shd w:val="clear" w:color="auto" w:fill="EFF5D5" w:themeFill="accent2" w:themeFillTint="33"/>
          </w:tcPr>
          <w:p w14:paraId="5094CD70" w14:textId="77777777" w:rsidR="00DA162D" w:rsidRPr="00411842" w:rsidRDefault="00DA162D" w:rsidP="006F3BB6">
            <w:pPr>
              <w:pStyle w:val="Paragraphtext"/>
              <w:jc w:val="center"/>
              <w:rPr>
                <w:b/>
                <w:i/>
                <w:color w:val="auto"/>
                <w:sz w:val="22"/>
                <w:szCs w:val="22"/>
                <w:u w:val="single"/>
                <w:lang w:val="en-GB"/>
              </w:rPr>
            </w:pPr>
            <w:r w:rsidRPr="00411842">
              <w:rPr>
                <w:b/>
                <w:i/>
                <w:color w:val="auto"/>
                <w:sz w:val="22"/>
                <w:szCs w:val="22"/>
                <w:u w:val="single"/>
                <w:lang w:val="en-GB"/>
              </w:rPr>
              <w:t>Safety Performance Indicator</w:t>
            </w:r>
          </w:p>
        </w:tc>
        <w:tc>
          <w:tcPr>
            <w:tcW w:w="3425" w:type="dxa"/>
            <w:tcBorders>
              <w:top w:val="double" w:sz="4" w:space="0" w:color="auto"/>
              <w:left w:val="double" w:sz="4" w:space="0" w:color="auto"/>
              <w:bottom w:val="double" w:sz="4" w:space="0" w:color="auto"/>
              <w:right w:val="double" w:sz="4" w:space="0" w:color="auto"/>
            </w:tcBorders>
            <w:shd w:val="clear" w:color="auto" w:fill="EFF5D5" w:themeFill="accent2" w:themeFillTint="33"/>
          </w:tcPr>
          <w:p w14:paraId="779A323A" w14:textId="77777777" w:rsidR="00DA162D" w:rsidRPr="00411842" w:rsidRDefault="00DA162D" w:rsidP="006F3BB6">
            <w:pPr>
              <w:pStyle w:val="Paragraphtext"/>
              <w:jc w:val="center"/>
              <w:rPr>
                <w:b/>
                <w:i/>
                <w:color w:val="auto"/>
                <w:sz w:val="22"/>
                <w:szCs w:val="22"/>
                <w:u w:val="single"/>
                <w:lang w:val="en-GB"/>
              </w:rPr>
            </w:pPr>
            <w:r w:rsidRPr="00411842">
              <w:rPr>
                <w:b/>
                <w:i/>
                <w:color w:val="auto"/>
                <w:sz w:val="22"/>
                <w:szCs w:val="22"/>
                <w:u w:val="single"/>
                <w:lang w:val="en-GB"/>
              </w:rPr>
              <w:t>Justification</w:t>
            </w:r>
          </w:p>
        </w:tc>
        <w:tc>
          <w:tcPr>
            <w:tcW w:w="3014" w:type="dxa"/>
            <w:tcBorders>
              <w:top w:val="double" w:sz="4" w:space="0" w:color="auto"/>
              <w:left w:val="double" w:sz="4" w:space="0" w:color="auto"/>
              <w:bottom w:val="double" w:sz="4" w:space="0" w:color="auto"/>
              <w:right w:val="double" w:sz="4" w:space="0" w:color="auto"/>
            </w:tcBorders>
            <w:shd w:val="clear" w:color="auto" w:fill="EFF5D5" w:themeFill="accent2" w:themeFillTint="33"/>
          </w:tcPr>
          <w:p w14:paraId="7185D487" w14:textId="77777777" w:rsidR="00DA162D" w:rsidRPr="00411842" w:rsidRDefault="00DA162D" w:rsidP="006F3BB6">
            <w:pPr>
              <w:pStyle w:val="Paragraphtext"/>
              <w:jc w:val="center"/>
              <w:rPr>
                <w:b/>
                <w:i/>
                <w:color w:val="auto"/>
                <w:sz w:val="22"/>
                <w:szCs w:val="22"/>
                <w:u w:val="single"/>
                <w:lang w:val="en-GB"/>
              </w:rPr>
            </w:pPr>
            <w:r w:rsidRPr="00411842">
              <w:rPr>
                <w:b/>
                <w:i/>
                <w:color w:val="auto"/>
                <w:sz w:val="22"/>
                <w:szCs w:val="22"/>
                <w:u w:val="single"/>
                <w:lang w:val="en-GB"/>
              </w:rPr>
              <w:t>How to measure</w:t>
            </w:r>
          </w:p>
        </w:tc>
      </w:tr>
      <w:tr w:rsidR="00DA162D" w:rsidRPr="00411842" w14:paraId="28DCFECE" w14:textId="77777777" w:rsidTr="006F3BB6">
        <w:tc>
          <w:tcPr>
            <w:tcW w:w="3220" w:type="dxa"/>
            <w:tcBorders>
              <w:top w:val="double" w:sz="4" w:space="0" w:color="auto"/>
              <w:left w:val="single" w:sz="4" w:space="0" w:color="auto"/>
              <w:bottom w:val="single" w:sz="4" w:space="0" w:color="auto"/>
              <w:right w:val="single" w:sz="4" w:space="0" w:color="auto"/>
            </w:tcBorders>
            <w:shd w:val="clear" w:color="auto" w:fill="EFF5D5" w:themeFill="accent2" w:themeFillTint="33"/>
          </w:tcPr>
          <w:p w14:paraId="7D4C0A9E" w14:textId="77777777" w:rsidR="00DA162D" w:rsidRPr="00411842" w:rsidRDefault="00DA162D" w:rsidP="006F3BB6">
            <w:pPr>
              <w:pStyle w:val="Paragraphtext"/>
              <w:rPr>
                <w:color w:val="auto"/>
                <w:sz w:val="22"/>
                <w:szCs w:val="22"/>
                <w:lang w:val="en-GB"/>
              </w:rPr>
            </w:pPr>
            <w:r w:rsidRPr="00411842">
              <w:rPr>
                <w:color w:val="auto"/>
                <w:sz w:val="22"/>
                <w:szCs w:val="22"/>
                <w:lang w:val="en-GB"/>
              </w:rPr>
              <w:t>Road user distance or time travelled (for all modes)</w:t>
            </w:r>
          </w:p>
        </w:tc>
        <w:tc>
          <w:tcPr>
            <w:tcW w:w="3425" w:type="dxa"/>
            <w:tcBorders>
              <w:top w:val="double" w:sz="4" w:space="0" w:color="auto"/>
              <w:left w:val="single" w:sz="4" w:space="0" w:color="auto"/>
              <w:bottom w:val="single" w:sz="4" w:space="0" w:color="auto"/>
              <w:right w:val="single" w:sz="4" w:space="0" w:color="auto"/>
            </w:tcBorders>
            <w:shd w:val="clear" w:color="auto" w:fill="EFF5D5" w:themeFill="accent2" w:themeFillTint="33"/>
          </w:tcPr>
          <w:p w14:paraId="69404B7A" w14:textId="77777777" w:rsidR="00DA162D" w:rsidRPr="00411842" w:rsidRDefault="00DA162D" w:rsidP="006F3BB6">
            <w:pPr>
              <w:pStyle w:val="Paragraphtext"/>
              <w:rPr>
                <w:b/>
                <w:i/>
                <w:color w:val="auto"/>
                <w:sz w:val="22"/>
                <w:szCs w:val="22"/>
                <w:u w:val="single"/>
                <w:lang w:val="en-GB"/>
              </w:rPr>
            </w:pPr>
            <w:r w:rsidRPr="00411842">
              <w:rPr>
                <w:color w:val="auto"/>
                <w:sz w:val="22"/>
                <w:szCs w:val="22"/>
                <w:lang w:val="en-GB"/>
              </w:rPr>
              <w:t>Exposure data (as mentioned in the data/statistics section) to help track down and focus on areas of risk and help us understand where and how safety interventions are working</w:t>
            </w:r>
          </w:p>
        </w:tc>
        <w:tc>
          <w:tcPr>
            <w:tcW w:w="3014" w:type="dxa"/>
            <w:tcBorders>
              <w:top w:val="double" w:sz="4" w:space="0" w:color="auto"/>
              <w:left w:val="single" w:sz="4" w:space="0" w:color="auto"/>
              <w:bottom w:val="single" w:sz="4" w:space="0" w:color="auto"/>
              <w:right w:val="single" w:sz="4" w:space="0" w:color="auto"/>
            </w:tcBorders>
            <w:shd w:val="clear" w:color="auto" w:fill="EFF5D5" w:themeFill="accent2" w:themeFillTint="33"/>
          </w:tcPr>
          <w:p w14:paraId="629C7FBA" w14:textId="77777777" w:rsidR="00DA162D" w:rsidRPr="00411842" w:rsidRDefault="00DA162D" w:rsidP="006F3BB6">
            <w:pPr>
              <w:pStyle w:val="Paragraphtext"/>
              <w:rPr>
                <w:b/>
                <w:i/>
                <w:color w:val="auto"/>
                <w:sz w:val="22"/>
                <w:szCs w:val="22"/>
                <w:u w:val="single"/>
                <w:lang w:val="en-GB"/>
              </w:rPr>
            </w:pPr>
            <w:r w:rsidRPr="00411842">
              <w:rPr>
                <w:color w:val="auto"/>
                <w:sz w:val="22"/>
                <w:szCs w:val="22"/>
                <w:lang w:val="en-GB"/>
              </w:rPr>
              <w:t>Survey of random sample on travel behaviour or counting methods</w:t>
            </w:r>
          </w:p>
        </w:tc>
      </w:tr>
      <w:tr w:rsidR="00DA162D" w:rsidRPr="00411842" w14:paraId="5554A5CA" w14:textId="77777777" w:rsidTr="006F3BB6">
        <w:tc>
          <w:tcPr>
            <w:tcW w:w="3220" w:type="dxa"/>
            <w:tcBorders>
              <w:top w:val="single" w:sz="4" w:space="0" w:color="auto"/>
              <w:left w:val="single" w:sz="4" w:space="0" w:color="auto"/>
              <w:bottom w:val="single" w:sz="4" w:space="0" w:color="auto"/>
              <w:right w:val="single" w:sz="4" w:space="0" w:color="auto"/>
            </w:tcBorders>
            <w:shd w:val="clear" w:color="auto" w:fill="EFF5D5" w:themeFill="accent2" w:themeFillTint="33"/>
          </w:tcPr>
          <w:p w14:paraId="4127DE75" w14:textId="77777777" w:rsidR="00DA162D" w:rsidRPr="00411842" w:rsidRDefault="00DA162D" w:rsidP="006F3BB6">
            <w:pPr>
              <w:pStyle w:val="Paragraphtext"/>
              <w:rPr>
                <w:color w:val="auto"/>
                <w:sz w:val="22"/>
                <w:szCs w:val="22"/>
                <w:lang w:val="en-GB"/>
              </w:rPr>
            </w:pPr>
            <w:r w:rsidRPr="00411842">
              <w:rPr>
                <w:color w:val="auto"/>
                <w:sz w:val="22"/>
                <w:szCs w:val="22"/>
                <w:lang w:val="en-GB"/>
              </w:rPr>
              <w:t>Road user target fatality rate for member states</w:t>
            </w:r>
          </w:p>
        </w:tc>
        <w:tc>
          <w:tcPr>
            <w:tcW w:w="3425" w:type="dxa"/>
            <w:tcBorders>
              <w:top w:val="single" w:sz="4" w:space="0" w:color="auto"/>
              <w:left w:val="single" w:sz="4" w:space="0" w:color="auto"/>
              <w:bottom w:val="single" w:sz="4" w:space="0" w:color="auto"/>
              <w:right w:val="single" w:sz="4" w:space="0" w:color="auto"/>
            </w:tcBorders>
            <w:shd w:val="clear" w:color="auto" w:fill="EFF5D5" w:themeFill="accent2" w:themeFillTint="33"/>
          </w:tcPr>
          <w:p w14:paraId="318DFC21" w14:textId="77777777" w:rsidR="00DA162D" w:rsidRPr="00411842" w:rsidRDefault="00DA162D" w:rsidP="006F3BB6">
            <w:pPr>
              <w:pStyle w:val="Paragraphtext"/>
              <w:rPr>
                <w:color w:val="auto"/>
                <w:sz w:val="22"/>
                <w:szCs w:val="22"/>
                <w:lang w:val="en-GB"/>
              </w:rPr>
            </w:pPr>
            <w:r w:rsidRPr="00411842">
              <w:rPr>
                <w:color w:val="auto"/>
                <w:sz w:val="22"/>
                <w:szCs w:val="22"/>
                <w:lang w:val="en-GB"/>
              </w:rPr>
              <w:t>Road user target fatality rate (to be used with exposure) to inspire individual Member States to reduce risk within the transport system</w:t>
            </w:r>
          </w:p>
        </w:tc>
        <w:tc>
          <w:tcPr>
            <w:tcW w:w="3014" w:type="dxa"/>
            <w:tcBorders>
              <w:top w:val="single" w:sz="4" w:space="0" w:color="auto"/>
              <w:left w:val="single" w:sz="4" w:space="0" w:color="auto"/>
              <w:bottom w:val="single" w:sz="4" w:space="0" w:color="auto"/>
              <w:right w:val="single" w:sz="4" w:space="0" w:color="auto"/>
            </w:tcBorders>
            <w:shd w:val="clear" w:color="auto" w:fill="EFF5D5" w:themeFill="accent2" w:themeFillTint="33"/>
          </w:tcPr>
          <w:p w14:paraId="2F0E5EB9" w14:textId="77777777" w:rsidR="00DA162D" w:rsidRPr="00411842" w:rsidRDefault="00DA162D" w:rsidP="006F3BB6">
            <w:pPr>
              <w:pStyle w:val="Paragraphtext"/>
              <w:rPr>
                <w:color w:val="auto"/>
                <w:sz w:val="22"/>
                <w:szCs w:val="22"/>
                <w:lang w:val="en-GB"/>
              </w:rPr>
            </w:pPr>
            <w:r w:rsidRPr="00411842">
              <w:rPr>
                <w:color w:val="auto"/>
                <w:sz w:val="22"/>
                <w:szCs w:val="22"/>
                <w:lang w:val="en-GB"/>
              </w:rPr>
              <w:t>Member State fatality figures along with exposure data measured above</w:t>
            </w:r>
          </w:p>
        </w:tc>
      </w:tr>
      <w:tr w:rsidR="00DA162D" w:rsidRPr="00411842" w14:paraId="00FAFFBE" w14:textId="77777777" w:rsidTr="006F3BB6">
        <w:tc>
          <w:tcPr>
            <w:tcW w:w="3220" w:type="dxa"/>
            <w:tcBorders>
              <w:top w:val="single" w:sz="4" w:space="0" w:color="auto"/>
            </w:tcBorders>
            <w:shd w:val="clear" w:color="auto" w:fill="EFF5D5" w:themeFill="accent2" w:themeFillTint="33"/>
          </w:tcPr>
          <w:p w14:paraId="2B691445" w14:textId="77777777" w:rsidR="00DA162D" w:rsidRPr="00411842" w:rsidRDefault="00DA162D" w:rsidP="006F3BB6">
            <w:pPr>
              <w:pStyle w:val="Paragraphtext"/>
              <w:rPr>
                <w:color w:val="auto"/>
                <w:sz w:val="22"/>
                <w:szCs w:val="22"/>
                <w:lang w:val="en-GB"/>
              </w:rPr>
            </w:pPr>
            <w:r w:rsidRPr="00411842">
              <w:rPr>
                <w:color w:val="auto"/>
                <w:sz w:val="22"/>
                <w:szCs w:val="22"/>
                <w:lang w:val="en-GB"/>
              </w:rPr>
              <w:t>% of cyclists and pedestrians with a ‘feeling of safety’ or ‘feeling of danger’ while using the roads</w:t>
            </w:r>
          </w:p>
        </w:tc>
        <w:tc>
          <w:tcPr>
            <w:tcW w:w="3425" w:type="dxa"/>
            <w:tcBorders>
              <w:top w:val="single" w:sz="4" w:space="0" w:color="auto"/>
            </w:tcBorders>
            <w:shd w:val="clear" w:color="auto" w:fill="EFF5D5" w:themeFill="accent2" w:themeFillTint="33"/>
          </w:tcPr>
          <w:p w14:paraId="793B6564" w14:textId="77777777" w:rsidR="00DA162D" w:rsidRPr="00411842" w:rsidRDefault="00DA162D" w:rsidP="006F3BB6">
            <w:pPr>
              <w:pStyle w:val="Paragraphtext"/>
              <w:rPr>
                <w:color w:val="auto"/>
                <w:sz w:val="22"/>
                <w:szCs w:val="22"/>
                <w:lang w:val="en-GB"/>
              </w:rPr>
            </w:pPr>
            <w:r w:rsidRPr="00411842">
              <w:rPr>
                <w:color w:val="auto"/>
                <w:sz w:val="22"/>
                <w:szCs w:val="22"/>
                <w:lang w:val="en-GB"/>
              </w:rPr>
              <w:t>A ‘road satisfaction’ indicator, as a way of making sure that road safety measures are not simply moving road users from cycling to more protected modes. A road safety intervention can make cycling safer by reducing cycling numbers, but this should not be the intention. The perception of risk is also a good indicator for the success of road safety interventions</w:t>
            </w:r>
          </w:p>
        </w:tc>
        <w:tc>
          <w:tcPr>
            <w:tcW w:w="3014" w:type="dxa"/>
            <w:tcBorders>
              <w:top w:val="single" w:sz="4" w:space="0" w:color="auto"/>
            </w:tcBorders>
            <w:shd w:val="clear" w:color="auto" w:fill="EFF5D5" w:themeFill="accent2" w:themeFillTint="33"/>
          </w:tcPr>
          <w:p w14:paraId="76ADB4B8" w14:textId="77777777" w:rsidR="00DA162D" w:rsidRPr="00411842" w:rsidRDefault="00DA162D" w:rsidP="006F3BB6">
            <w:pPr>
              <w:pStyle w:val="Paragraphtext"/>
              <w:rPr>
                <w:color w:val="auto"/>
                <w:sz w:val="22"/>
                <w:szCs w:val="22"/>
                <w:lang w:val="en-GB"/>
              </w:rPr>
            </w:pPr>
            <w:r w:rsidRPr="00411842">
              <w:rPr>
                <w:color w:val="auto"/>
                <w:sz w:val="22"/>
                <w:szCs w:val="22"/>
                <w:lang w:val="en-GB"/>
              </w:rPr>
              <w:t>Survey of random sample from whole population not just cyclist as it will be important to include those thinking of cycling. Can be done on the road or junction (as is carried out in Copenhagen</w:t>
            </w:r>
            <w:r w:rsidRPr="00411842">
              <w:rPr>
                <w:rStyle w:val="Appelnotedebasdep"/>
                <w:color w:val="auto"/>
                <w:sz w:val="22"/>
                <w:szCs w:val="22"/>
                <w:lang w:val="en-GB"/>
              </w:rPr>
              <w:footnoteReference w:id="33"/>
            </w:r>
            <w:r w:rsidRPr="00411842">
              <w:rPr>
                <w:color w:val="auto"/>
                <w:sz w:val="22"/>
                <w:szCs w:val="22"/>
                <w:lang w:val="en-GB"/>
              </w:rPr>
              <w:t>)</w:t>
            </w:r>
          </w:p>
        </w:tc>
      </w:tr>
      <w:tr w:rsidR="00DA162D" w:rsidRPr="00411842" w14:paraId="25387A1D" w14:textId="77777777" w:rsidTr="006F3BB6">
        <w:trPr>
          <w:trHeight w:val="2042"/>
        </w:trPr>
        <w:tc>
          <w:tcPr>
            <w:tcW w:w="3220" w:type="dxa"/>
            <w:shd w:val="clear" w:color="auto" w:fill="EFF5D5" w:themeFill="accent2" w:themeFillTint="33"/>
          </w:tcPr>
          <w:p w14:paraId="3831CA1B" w14:textId="77777777" w:rsidR="00DA162D" w:rsidRPr="00411842" w:rsidRDefault="00DA162D" w:rsidP="006F3BB6">
            <w:pPr>
              <w:pStyle w:val="Paragraphtext"/>
              <w:rPr>
                <w:color w:val="auto"/>
                <w:sz w:val="22"/>
                <w:szCs w:val="22"/>
                <w:lang w:val="en-GB"/>
              </w:rPr>
            </w:pPr>
            <w:r w:rsidRPr="00411842">
              <w:rPr>
                <w:color w:val="auto"/>
                <w:sz w:val="22"/>
                <w:szCs w:val="22"/>
                <w:lang w:val="en-GB"/>
              </w:rPr>
              <w:t>% of road network safe for cycling</w:t>
            </w:r>
          </w:p>
        </w:tc>
        <w:tc>
          <w:tcPr>
            <w:tcW w:w="3425" w:type="dxa"/>
            <w:shd w:val="clear" w:color="auto" w:fill="EFF5D5" w:themeFill="accent2" w:themeFillTint="33"/>
          </w:tcPr>
          <w:p w14:paraId="69233C7B" w14:textId="77777777" w:rsidR="00DA162D" w:rsidRPr="00411842" w:rsidRDefault="00DA162D" w:rsidP="006F3BB6">
            <w:pPr>
              <w:pStyle w:val="Paragraphtext"/>
              <w:rPr>
                <w:color w:val="auto"/>
                <w:sz w:val="22"/>
                <w:szCs w:val="22"/>
                <w:lang w:val="en-GB"/>
              </w:rPr>
            </w:pPr>
            <w:r w:rsidRPr="00411842">
              <w:rPr>
                <w:color w:val="auto"/>
                <w:sz w:val="22"/>
                <w:szCs w:val="22"/>
                <w:lang w:val="en-GB"/>
              </w:rPr>
              <w:t>Basic indicator on whether the road network is safe for cyclists</w:t>
            </w:r>
          </w:p>
        </w:tc>
        <w:tc>
          <w:tcPr>
            <w:tcW w:w="3014" w:type="dxa"/>
            <w:vMerge w:val="restart"/>
            <w:shd w:val="clear" w:color="auto" w:fill="EFF5D5" w:themeFill="accent2" w:themeFillTint="33"/>
          </w:tcPr>
          <w:p w14:paraId="07D43BB7" w14:textId="77777777" w:rsidR="00DA162D" w:rsidRPr="00411842" w:rsidRDefault="00DA162D" w:rsidP="006F3BB6">
            <w:pPr>
              <w:pStyle w:val="Paragraphtext"/>
              <w:rPr>
                <w:color w:val="auto"/>
                <w:sz w:val="22"/>
                <w:szCs w:val="22"/>
                <w:lang w:val="en-GB"/>
              </w:rPr>
            </w:pPr>
            <w:r w:rsidRPr="00411842">
              <w:rPr>
                <w:color w:val="auto"/>
                <w:sz w:val="22"/>
                <w:szCs w:val="22"/>
                <w:lang w:val="en-GB"/>
              </w:rPr>
              <w:t>Consider adapting a common framework for several indicators referring to safe network, safe routes etc.  Simplest version would be to define a street section as safe for cycling, if it meets one of the following criteria:</w:t>
            </w:r>
          </w:p>
          <w:p w14:paraId="740386B6" w14:textId="77777777" w:rsidR="00DA162D" w:rsidRPr="00411842" w:rsidRDefault="00DA162D" w:rsidP="006F3BB6">
            <w:pPr>
              <w:pStyle w:val="Paragraphtext"/>
              <w:numPr>
                <w:ilvl w:val="0"/>
                <w:numId w:val="16"/>
              </w:numPr>
              <w:ind w:left="275" w:hanging="270"/>
              <w:rPr>
                <w:color w:val="auto"/>
                <w:sz w:val="22"/>
                <w:szCs w:val="22"/>
                <w:lang w:val="en-GB"/>
              </w:rPr>
            </w:pPr>
            <w:r w:rsidRPr="00411842">
              <w:rPr>
                <w:color w:val="auto"/>
                <w:sz w:val="22"/>
                <w:szCs w:val="22"/>
                <w:lang w:val="en-GB"/>
              </w:rPr>
              <w:t xml:space="preserve">speed limit 30 km/h </w:t>
            </w:r>
          </w:p>
          <w:p w14:paraId="4653ECE7" w14:textId="77777777" w:rsidR="00DA162D" w:rsidRPr="00411842" w:rsidRDefault="00DA162D" w:rsidP="006F3BB6">
            <w:pPr>
              <w:pStyle w:val="Paragraphtext"/>
              <w:numPr>
                <w:ilvl w:val="0"/>
                <w:numId w:val="16"/>
              </w:numPr>
              <w:ind w:left="275" w:hanging="270"/>
              <w:rPr>
                <w:color w:val="auto"/>
                <w:sz w:val="22"/>
                <w:szCs w:val="22"/>
                <w:lang w:val="en-GB"/>
              </w:rPr>
            </w:pPr>
            <w:r w:rsidRPr="00411842">
              <w:rPr>
                <w:color w:val="auto"/>
                <w:sz w:val="22"/>
                <w:szCs w:val="22"/>
                <w:lang w:val="en-GB"/>
              </w:rPr>
              <w:t>equipped with cycle lanes (separation from motorised traffic by horizontal markings only)</w:t>
            </w:r>
          </w:p>
          <w:p w14:paraId="1CB42C44" w14:textId="77777777" w:rsidR="00DA162D" w:rsidRPr="00411842" w:rsidRDefault="00DA162D" w:rsidP="006F3BB6">
            <w:pPr>
              <w:pStyle w:val="Paragraphtext"/>
              <w:numPr>
                <w:ilvl w:val="0"/>
                <w:numId w:val="16"/>
              </w:numPr>
              <w:ind w:left="275" w:hanging="270"/>
              <w:rPr>
                <w:color w:val="auto"/>
                <w:sz w:val="22"/>
                <w:szCs w:val="22"/>
                <w:lang w:val="en-GB"/>
              </w:rPr>
            </w:pPr>
            <w:r w:rsidRPr="00411842">
              <w:rPr>
                <w:color w:val="auto"/>
                <w:sz w:val="22"/>
                <w:szCs w:val="22"/>
                <w:lang w:val="en-GB"/>
              </w:rPr>
              <w:t>equipped with cycle paths (separation from motorised traffic by construction)</w:t>
            </w:r>
          </w:p>
          <w:p w14:paraId="4712F815" w14:textId="2670594A" w:rsidR="00DA162D" w:rsidRPr="00411842" w:rsidRDefault="00DA162D" w:rsidP="006F3BB6">
            <w:pPr>
              <w:pStyle w:val="Paragraphtext"/>
              <w:ind w:left="5"/>
              <w:rPr>
                <w:color w:val="auto"/>
                <w:sz w:val="22"/>
                <w:szCs w:val="22"/>
                <w:lang w:val="en-GB"/>
              </w:rPr>
            </w:pPr>
            <w:r w:rsidRPr="00411842">
              <w:rPr>
                <w:color w:val="auto"/>
                <w:sz w:val="22"/>
                <w:szCs w:val="22"/>
                <w:lang w:val="en-GB"/>
              </w:rPr>
              <w:t>The definition might also include some quality requirements (</w:t>
            </w:r>
            <w:r w:rsidR="00C4031B" w:rsidRPr="00411842">
              <w:rPr>
                <w:color w:val="auto"/>
                <w:sz w:val="22"/>
                <w:szCs w:val="22"/>
                <w:lang w:val="en-GB"/>
              </w:rPr>
              <w:t>e.g.,</w:t>
            </w:r>
            <w:r w:rsidRPr="00411842">
              <w:rPr>
                <w:color w:val="auto"/>
                <w:sz w:val="22"/>
                <w:szCs w:val="22"/>
                <w:lang w:val="en-GB"/>
              </w:rPr>
              <w:t xml:space="preserve"> </w:t>
            </w:r>
            <w:r w:rsidRPr="00411842">
              <w:rPr>
                <w:color w:val="auto"/>
                <w:sz w:val="22"/>
                <w:szCs w:val="22"/>
                <w:lang w:val="en-GB"/>
              </w:rPr>
              <w:lastRenderedPageBreak/>
              <w:t>paved surface, minimum width). It can also reference the cycling infrastructure guidance as described in section …</w:t>
            </w:r>
          </w:p>
          <w:p w14:paraId="3DC40D21" w14:textId="77777777" w:rsidR="00DA162D" w:rsidRPr="00411842" w:rsidRDefault="00DA162D" w:rsidP="006F3BB6">
            <w:pPr>
              <w:pStyle w:val="Paragraphtext"/>
              <w:ind w:left="5"/>
              <w:rPr>
                <w:color w:val="auto"/>
                <w:sz w:val="22"/>
                <w:szCs w:val="22"/>
                <w:lang w:val="en-GB"/>
              </w:rPr>
            </w:pPr>
            <w:r w:rsidRPr="00411842">
              <w:rPr>
                <w:color w:val="auto"/>
                <w:sz w:val="22"/>
                <w:szCs w:val="22"/>
                <w:lang w:val="en-GB"/>
              </w:rPr>
              <w:t>The same definition should be applied consistently to indicators on % of network, % of population with access to safe cycling routes, % of children with safe route to school</w:t>
            </w:r>
          </w:p>
        </w:tc>
      </w:tr>
      <w:tr w:rsidR="00DA162D" w:rsidRPr="00411842" w14:paraId="7191D503" w14:textId="77777777" w:rsidTr="006F3BB6">
        <w:trPr>
          <w:trHeight w:val="2636"/>
        </w:trPr>
        <w:tc>
          <w:tcPr>
            <w:tcW w:w="3220" w:type="dxa"/>
            <w:shd w:val="clear" w:color="auto" w:fill="EFF5D5" w:themeFill="accent2" w:themeFillTint="33"/>
          </w:tcPr>
          <w:p w14:paraId="02B17D2F" w14:textId="77777777" w:rsidR="00DA162D" w:rsidRPr="00411842" w:rsidRDefault="00DA162D" w:rsidP="006F3BB6">
            <w:pPr>
              <w:pStyle w:val="Paragraphtext"/>
              <w:rPr>
                <w:color w:val="auto"/>
                <w:sz w:val="22"/>
                <w:szCs w:val="22"/>
                <w:lang w:val="en-GB"/>
              </w:rPr>
            </w:pPr>
            <w:r w:rsidRPr="00411842">
              <w:rPr>
                <w:color w:val="auto"/>
                <w:sz w:val="22"/>
                <w:szCs w:val="22"/>
                <w:lang w:val="en-GB"/>
              </w:rPr>
              <w:t>% of population with access to safe cycling network</w:t>
            </w:r>
          </w:p>
        </w:tc>
        <w:tc>
          <w:tcPr>
            <w:tcW w:w="3425" w:type="dxa"/>
            <w:shd w:val="clear" w:color="auto" w:fill="EFF5D5" w:themeFill="accent2" w:themeFillTint="33"/>
          </w:tcPr>
          <w:p w14:paraId="6E1C34F6" w14:textId="77777777" w:rsidR="00DA162D" w:rsidRPr="00411842" w:rsidRDefault="00DA162D" w:rsidP="006F3BB6">
            <w:pPr>
              <w:pStyle w:val="Paragraphtext"/>
              <w:rPr>
                <w:color w:val="auto"/>
                <w:sz w:val="22"/>
                <w:szCs w:val="22"/>
                <w:lang w:val="en-GB"/>
              </w:rPr>
            </w:pPr>
            <w:r w:rsidRPr="00411842">
              <w:rPr>
                <w:color w:val="auto"/>
                <w:sz w:val="22"/>
                <w:szCs w:val="22"/>
                <w:lang w:val="en-GB"/>
              </w:rPr>
              <w:t>As above, but with more importance given to roads in densely populated areas</w:t>
            </w:r>
          </w:p>
        </w:tc>
        <w:tc>
          <w:tcPr>
            <w:tcW w:w="3014" w:type="dxa"/>
            <w:vMerge/>
            <w:shd w:val="clear" w:color="auto" w:fill="EFF5D5" w:themeFill="accent2" w:themeFillTint="33"/>
          </w:tcPr>
          <w:p w14:paraId="4B28A6BF" w14:textId="77777777" w:rsidR="00DA162D" w:rsidRPr="00411842" w:rsidRDefault="00DA162D" w:rsidP="006F3BB6">
            <w:pPr>
              <w:pStyle w:val="Paragraphtext"/>
              <w:rPr>
                <w:color w:val="auto"/>
                <w:sz w:val="22"/>
                <w:szCs w:val="22"/>
                <w:lang w:val="en-GB"/>
              </w:rPr>
            </w:pPr>
          </w:p>
        </w:tc>
      </w:tr>
      <w:tr w:rsidR="00DA162D" w:rsidRPr="00411842" w14:paraId="46972D30" w14:textId="77777777" w:rsidTr="006F3BB6">
        <w:tc>
          <w:tcPr>
            <w:tcW w:w="3220" w:type="dxa"/>
            <w:shd w:val="clear" w:color="auto" w:fill="EFF5D5" w:themeFill="accent2" w:themeFillTint="33"/>
          </w:tcPr>
          <w:p w14:paraId="02A5B5F3" w14:textId="77777777" w:rsidR="00DA162D" w:rsidRPr="00411842" w:rsidRDefault="00DA162D" w:rsidP="006F3BB6">
            <w:pPr>
              <w:pStyle w:val="Paragraphtext"/>
              <w:rPr>
                <w:color w:val="auto"/>
                <w:sz w:val="22"/>
                <w:szCs w:val="22"/>
                <w:lang w:val="en-GB"/>
              </w:rPr>
            </w:pPr>
            <w:r w:rsidRPr="00411842">
              <w:rPr>
                <w:color w:val="auto"/>
                <w:sz w:val="22"/>
                <w:szCs w:val="22"/>
                <w:lang w:val="en-GB"/>
              </w:rPr>
              <w:lastRenderedPageBreak/>
              <w:t>% of population in age range 8-18 with a safe cycling route between home and school</w:t>
            </w:r>
          </w:p>
          <w:p w14:paraId="2A41E772" w14:textId="77777777" w:rsidR="00DA162D" w:rsidRPr="00411842" w:rsidRDefault="00DA162D" w:rsidP="006F3BB6">
            <w:pPr>
              <w:pStyle w:val="Paragraphtext"/>
              <w:rPr>
                <w:color w:val="auto"/>
                <w:sz w:val="22"/>
                <w:szCs w:val="22"/>
                <w:lang w:val="en-GB"/>
              </w:rPr>
            </w:pPr>
          </w:p>
        </w:tc>
        <w:tc>
          <w:tcPr>
            <w:tcW w:w="3425" w:type="dxa"/>
            <w:shd w:val="clear" w:color="auto" w:fill="EFF5D5" w:themeFill="accent2" w:themeFillTint="33"/>
          </w:tcPr>
          <w:p w14:paraId="3D58D4C9" w14:textId="77777777" w:rsidR="00DA162D" w:rsidRPr="00411842" w:rsidRDefault="00DA162D" w:rsidP="006F3BB6">
            <w:pPr>
              <w:pStyle w:val="Paragraphtext"/>
              <w:rPr>
                <w:color w:val="auto"/>
                <w:sz w:val="22"/>
                <w:szCs w:val="22"/>
                <w:lang w:val="en-GB"/>
              </w:rPr>
            </w:pPr>
            <w:r w:rsidRPr="00411842">
              <w:rPr>
                <w:color w:val="auto"/>
                <w:sz w:val="22"/>
                <w:szCs w:val="22"/>
                <w:lang w:val="en-GB"/>
              </w:rPr>
              <w:t>Safe cycling is particularly important amongst children and younger people as a way of building independence. Roads should be safe to cater for everyone. Safety for young people and children on the road acts as a proxy for the safety (and perception of safety) of the road infrastructure for cyclists</w:t>
            </w:r>
          </w:p>
        </w:tc>
        <w:tc>
          <w:tcPr>
            <w:tcW w:w="3014" w:type="dxa"/>
            <w:vMerge/>
            <w:shd w:val="clear" w:color="auto" w:fill="EFF5D5" w:themeFill="accent2" w:themeFillTint="33"/>
          </w:tcPr>
          <w:p w14:paraId="13E801BB" w14:textId="77777777" w:rsidR="00DA162D" w:rsidRPr="00411842" w:rsidRDefault="00DA162D" w:rsidP="006F3BB6">
            <w:pPr>
              <w:pStyle w:val="Paragraphtext"/>
              <w:rPr>
                <w:color w:val="auto"/>
                <w:sz w:val="22"/>
                <w:szCs w:val="22"/>
                <w:lang w:val="en-GB"/>
              </w:rPr>
            </w:pPr>
          </w:p>
        </w:tc>
      </w:tr>
      <w:tr w:rsidR="00DA162D" w:rsidRPr="00411842" w14:paraId="44519998" w14:textId="77777777" w:rsidTr="006F3BB6">
        <w:tc>
          <w:tcPr>
            <w:tcW w:w="3220" w:type="dxa"/>
            <w:shd w:val="clear" w:color="auto" w:fill="EFF5D5" w:themeFill="accent2" w:themeFillTint="33"/>
          </w:tcPr>
          <w:p w14:paraId="30AD6481" w14:textId="77777777" w:rsidR="00DA162D" w:rsidRPr="00411842" w:rsidRDefault="00DA162D" w:rsidP="006F3BB6">
            <w:pPr>
              <w:pStyle w:val="Paragraphtext"/>
              <w:rPr>
                <w:color w:val="auto"/>
                <w:sz w:val="22"/>
                <w:szCs w:val="22"/>
                <w:lang w:val="en-GB"/>
              </w:rPr>
            </w:pPr>
            <w:r w:rsidRPr="00411842">
              <w:rPr>
                <w:color w:val="auto"/>
                <w:sz w:val="22"/>
                <w:szCs w:val="22"/>
                <w:lang w:val="en-GB"/>
              </w:rPr>
              <w:t>% of road network with speed limit 30 km/h or lower</w:t>
            </w:r>
          </w:p>
        </w:tc>
        <w:tc>
          <w:tcPr>
            <w:tcW w:w="3425" w:type="dxa"/>
            <w:vMerge w:val="restart"/>
            <w:shd w:val="clear" w:color="auto" w:fill="EFF5D5" w:themeFill="accent2" w:themeFillTint="33"/>
          </w:tcPr>
          <w:p w14:paraId="06F56915" w14:textId="77777777" w:rsidR="00DA162D" w:rsidRPr="00411842" w:rsidRDefault="00DA162D" w:rsidP="006F3BB6">
            <w:pPr>
              <w:pStyle w:val="Paragraphtext"/>
              <w:rPr>
                <w:color w:val="auto"/>
                <w:sz w:val="22"/>
                <w:szCs w:val="22"/>
                <w:lang w:val="en-GB"/>
              </w:rPr>
            </w:pPr>
            <w:r w:rsidRPr="00411842">
              <w:rPr>
                <w:color w:val="auto"/>
                <w:sz w:val="22"/>
                <w:szCs w:val="22"/>
                <w:lang w:val="en-GB"/>
              </w:rPr>
              <w:t>Alternative (for % of road network safe for cycling) set of more detailed indicators. Can be also used in connection with as sub-indicators</w:t>
            </w:r>
          </w:p>
        </w:tc>
        <w:tc>
          <w:tcPr>
            <w:tcW w:w="3014" w:type="dxa"/>
            <w:vMerge w:val="restart"/>
            <w:shd w:val="clear" w:color="auto" w:fill="EFF5D5" w:themeFill="accent2" w:themeFillTint="33"/>
          </w:tcPr>
          <w:p w14:paraId="0FCCF14C" w14:textId="77777777" w:rsidR="00DA162D" w:rsidRPr="00411842" w:rsidRDefault="00DA162D" w:rsidP="006F3BB6">
            <w:pPr>
              <w:pStyle w:val="Paragraphtext"/>
              <w:rPr>
                <w:color w:val="auto"/>
                <w:sz w:val="22"/>
                <w:szCs w:val="22"/>
                <w:lang w:val="en-GB"/>
              </w:rPr>
            </w:pPr>
            <w:r w:rsidRPr="00411842">
              <w:rPr>
                <w:color w:val="auto"/>
                <w:sz w:val="22"/>
                <w:szCs w:val="22"/>
                <w:lang w:val="en-GB"/>
              </w:rPr>
              <w:t>See Above</w:t>
            </w:r>
          </w:p>
        </w:tc>
      </w:tr>
      <w:tr w:rsidR="00DA162D" w:rsidRPr="00411842" w14:paraId="3DCA5700" w14:textId="77777777" w:rsidTr="006F3BB6">
        <w:tc>
          <w:tcPr>
            <w:tcW w:w="3220" w:type="dxa"/>
            <w:shd w:val="clear" w:color="auto" w:fill="EFF5D5" w:themeFill="accent2" w:themeFillTint="33"/>
          </w:tcPr>
          <w:p w14:paraId="097E43C6" w14:textId="77777777" w:rsidR="00DA162D" w:rsidRPr="00411842" w:rsidRDefault="00DA162D" w:rsidP="006F3BB6">
            <w:pPr>
              <w:pStyle w:val="Paragraphtext"/>
              <w:rPr>
                <w:color w:val="auto"/>
                <w:sz w:val="22"/>
                <w:szCs w:val="22"/>
                <w:lang w:val="en-GB"/>
              </w:rPr>
            </w:pPr>
            <w:r w:rsidRPr="00411842">
              <w:rPr>
                <w:color w:val="auto"/>
                <w:sz w:val="22"/>
                <w:szCs w:val="22"/>
                <w:lang w:val="en-GB"/>
              </w:rPr>
              <w:t>% of road network equipped with cycle lanes</w:t>
            </w:r>
          </w:p>
        </w:tc>
        <w:tc>
          <w:tcPr>
            <w:tcW w:w="3425" w:type="dxa"/>
            <w:vMerge/>
            <w:shd w:val="clear" w:color="auto" w:fill="EFF5D5" w:themeFill="accent2" w:themeFillTint="33"/>
          </w:tcPr>
          <w:p w14:paraId="4BFAB774" w14:textId="77777777" w:rsidR="00DA162D" w:rsidRPr="00411842" w:rsidRDefault="00DA162D" w:rsidP="006F3BB6">
            <w:pPr>
              <w:pStyle w:val="Paragraphtext"/>
              <w:rPr>
                <w:color w:val="auto"/>
                <w:sz w:val="22"/>
                <w:szCs w:val="22"/>
                <w:lang w:val="en-GB"/>
              </w:rPr>
            </w:pPr>
          </w:p>
        </w:tc>
        <w:tc>
          <w:tcPr>
            <w:tcW w:w="3014" w:type="dxa"/>
            <w:vMerge/>
            <w:shd w:val="clear" w:color="auto" w:fill="EFF5D5" w:themeFill="accent2" w:themeFillTint="33"/>
          </w:tcPr>
          <w:p w14:paraId="6C5CC3A4" w14:textId="77777777" w:rsidR="00DA162D" w:rsidRPr="00411842" w:rsidRDefault="00DA162D" w:rsidP="006F3BB6">
            <w:pPr>
              <w:pStyle w:val="Paragraphtext"/>
              <w:rPr>
                <w:color w:val="auto"/>
                <w:sz w:val="22"/>
                <w:szCs w:val="22"/>
                <w:lang w:val="en-GB"/>
              </w:rPr>
            </w:pPr>
          </w:p>
        </w:tc>
      </w:tr>
      <w:tr w:rsidR="00DA162D" w:rsidRPr="00411842" w14:paraId="2DFA2AC5" w14:textId="77777777" w:rsidTr="006F3BB6">
        <w:tc>
          <w:tcPr>
            <w:tcW w:w="3220" w:type="dxa"/>
            <w:shd w:val="clear" w:color="auto" w:fill="EFF5D5" w:themeFill="accent2" w:themeFillTint="33"/>
          </w:tcPr>
          <w:p w14:paraId="16786E8C" w14:textId="77777777" w:rsidR="00DA162D" w:rsidRPr="00411842" w:rsidRDefault="00DA162D" w:rsidP="006F3BB6">
            <w:pPr>
              <w:pStyle w:val="Paragraphtext"/>
              <w:rPr>
                <w:color w:val="auto"/>
                <w:sz w:val="22"/>
                <w:szCs w:val="22"/>
                <w:lang w:val="en-GB"/>
              </w:rPr>
            </w:pPr>
            <w:r w:rsidRPr="00411842">
              <w:rPr>
                <w:color w:val="auto"/>
                <w:sz w:val="22"/>
                <w:szCs w:val="22"/>
                <w:lang w:val="en-GB"/>
              </w:rPr>
              <w:t>% of road network equipped with cycle paths</w:t>
            </w:r>
          </w:p>
        </w:tc>
        <w:tc>
          <w:tcPr>
            <w:tcW w:w="3425" w:type="dxa"/>
            <w:vMerge/>
            <w:shd w:val="clear" w:color="auto" w:fill="EFF5D5" w:themeFill="accent2" w:themeFillTint="33"/>
          </w:tcPr>
          <w:p w14:paraId="2535B8A5" w14:textId="77777777" w:rsidR="00DA162D" w:rsidRPr="00411842" w:rsidRDefault="00DA162D" w:rsidP="006F3BB6">
            <w:pPr>
              <w:pStyle w:val="Paragraphtext"/>
              <w:rPr>
                <w:color w:val="auto"/>
                <w:sz w:val="22"/>
                <w:szCs w:val="22"/>
                <w:lang w:val="en-GB"/>
              </w:rPr>
            </w:pPr>
          </w:p>
        </w:tc>
        <w:tc>
          <w:tcPr>
            <w:tcW w:w="3014" w:type="dxa"/>
            <w:vMerge/>
            <w:shd w:val="clear" w:color="auto" w:fill="EFF5D5" w:themeFill="accent2" w:themeFillTint="33"/>
          </w:tcPr>
          <w:p w14:paraId="18F945DF" w14:textId="77777777" w:rsidR="00DA162D" w:rsidRPr="00411842" w:rsidRDefault="00DA162D" w:rsidP="006F3BB6">
            <w:pPr>
              <w:pStyle w:val="Paragraphtext"/>
              <w:rPr>
                <w:color w:val="auto"/>
                <w:sz w:val="22"/>
                <w:szCs w:val="22"/>
                <w:lang w:val="en-GB"/>
              </w:rPr>
            </w:pPr>
          </w:p>
        </w:tc>
      </w:tr>
      <w:tr w:rsidR="00DA162D" w:rsidRPr="00411842" w14:paraId="17411E3F" w14:textId="77777777" w:rsidTr="006F3BB6">
        <w:tc>
          <w:tcPr>
            <w:tcW w:w="3220" w:type="dxa"/>
            <w:shd w:val="clear" w:color="auto" w:fill="EFF5D5" w:themeFill="accent2" w:themeFillTint="33"/>
          </w:tcPr>
          <w:p w14:paraId="7147883A" w14:textId="77777777" w:rsidR="00DA162D" w:rsidRPr="00411842" w:rsidRDefault="00DA162D" w:rsidP="006F3BB6">
            <w:pPr>
              <w:pStyle w:val="Paragraphtext"/>
              <w:rPr>
                <w:color w:val="auto"/>
                <w:sz w:val="22"/>
                <w:szCs w:val="22"/>
                <w:lang w:val="en-GB"/>
              </w:rPr>
            </w:pPr>
            <w:r w:rsidRPr="00411842">
              <w:rPr>
                <w:color w:val="auto"/>
                <w:sz w:val="22"/>
                <w:szCs w:val="22"/>
                <w:lang w:val="en-GB"/>
              </w:rPr>
              <w:t>% of national roads (including motorways, expressways etc.) with alternative long-distance routes for cycling</w:t>
            </w:r>
          </w:p>
        </w:tc>
        <w:tc>
          <w:tcPr>
            <w:tcW w:w="3425" w:type="dxa"/>
            <w:shd w:val="clear" w:color="auto" w:fill="EFF5D5" w:themeFill="accent2" w:themeFillTint="33"/>
          </w:tcPr>
          <w:p w14:paraId="60420FE8" w14:textId="77777777" w:rsidR="00DA162D" w:rsidRPr="00411842" w:rsidRDefault="00DA162D" w:rsidP="006F3BB6">
            <w:pPr>
              <w:pStyle w:val="Paragraphtext"/>
              <w:rPr>
                <w:color w:val="auto"/>
                <w:sz w:val="22"/>
                <w:szCs w:val="22"/>
                <w:lang w:val="en-GB"/>
              </w:rPr>
            </w:pPr>
            <w:r w:rsidRPr="00411842">
              <w:rPr>
                <w:color w:val="auto"/>
                <w:sz w:val="22"/>
                <w:szCs w:val="22"/>
                <w:lang w:val="en-GB"/>
              </w:rPr>
              <w:t>See section on changes to the Road Infrastructure Safety Management Directive. There are many areas along longer distance routes that are (or could be) popular with cyclists. There are many serious cyclist crashes outside of urban areas (around 40% of fatalities outside urban areas).</w:t>
            </w:r>
          </w:p>
        </w:tc>
        <w:tc>
          <w:tcPr>
            <w:tcW w:w="3014" w:type="dxa"/>
            <w:shd w:val="clear" w:color="auto" w:fill="EFF5D5" w:themeFill="accent2" w:themeFillTint="33"/>
          </w:tcPr>
          <w:p w14:paraId="6169146A" w14:textId="77777777" w:rsidR="00DA162D" w:rsidRPr="00411842" w:rsidRDefault="00DA162D" w:rsidP="006F3BB6">
            <w:pPr>
              <w:pStyle w:val="Paragraphtext"/>
              <w:rPr>
                <w:color w:val="auto"/>
                <w:sz w:val="22"/>
                <w:szCs w:val="22"/>
                <w:lang w:val="en-GB"/>
              </w:rPr>
            </w:pPr>
            <w:r w:rsidRPr="00411842">
              <w:rPr>
                <w:color w:val="auto"/>
                <w:sz w:val="22"/>
                <w:szCs w:val="22"/>
                <w:lang w:val="en-GB"/>
              </w:rPr>
              <w:t>% of national (primary, strategic etc.) roads with signed alternative routes for cycling</w:t>
            </w:r>
          </w:p>
        </w:tc>
      </w:tr>
      <w:tr w:rsidR="00DA162D" w:rsidRPr="00411842" w14:paraId="27D912AA" w14:textId="77777777" w:rsidTr="006F3BB6">
        <w:tc>
          <w:tcPr>
            <w:tcW w:w="3220" w:type="dxa"/>
            <w:shd w:val="clear" w:color="auto" w:fill="EFF5D5" w:themeFill="accent2" w:themeFillTint="33"/>
          </w:tcPr>
          <w:p w14:paraId="38321467" w14:textId="77777777" w:rsidR="00DA162D" w:rsidRPr="00411842" w:rsidRDefault="00DA162D" w:rsidP="006F3BB6">
            <w:pPr>
              <w:pStyle w:val="Paragraphtext"/>
              <w:rPr>
                <w:color w:val="auto"/>
                <w:sz w:val="22"/>
                <w:szCs w:val="22"/>
                <w:lang w:val="en-GB"/>
              </w:rPr>
            </w:pPr>
            <w:r w:rsidRPr="00411842">
              <w:rPr>
                <w:color w:val="auto"/>
                <w:sz w:val="22"/>
                <w:szCs w:val="22"/>
                <w:lang w:val="en-GB"/>
              </w:rPr>
              <w:t>Total length of certified EuroVelo routes [km]</w:t>
            </w:r>
          </w:p>
        </w:tc>
        <w:tc>
          <w:tcPr>
            <w:tcW w:w="3425" w:type="dxa"/>
            <w:shd w:val="clear" w:color="auto" w:fill="EFF5D5" w:themeFill="accent2" w:themeFillTint="33"/>
          </w:tcPr>
          <w:p w14:paraId="74459220" w14:textId="77777777" w:rsidR="00DA162D" w:rsidRPr="00411842" w:rsidRDefault="00DA162D" w:rsidP="006F3BB6">
            <w:pPr>
              <w:pStyle w:val="Paragraphtext"/>
              <w:rPr>
                <w:color w:val="auto"/>
                <w:sz w:val="22"/>
                <w:szCs w:val="22"/>
                <w:lang w:val="en-GB"/>
              </w:rPr>
            </w:pPr>
            <w:r w:rsidRPr="00411842">
              <w:rPr>
                <w:color w:val="auto"/>
                <w:sz w:val="22"/>
                <w:szCs w:val="22"/>
                <w:lang w:val="en-GB"/>
              </w:rPr>
              <w:t>EuroVelo is a network of European long-distance cycle routes with well-defined and widely accepted certification criteria. This allows to measure not only the quantity but also the quality of cycle infrastructure on European level.</w:t>
            </w:r>
          </w:p>
        </w:tc>
        <w:tc>
          <w:tcPr>
            <w:tcW w:w="3014" w:type="dxa"/>
            <w:shd w:val="clear" w:color="auto" w:fill="EFF5D5" w:themeFill="accent2" w:themeFillTint="33"/>
          </w:tcPr>
          <w:p w14:paraId="2C03C63E" w14:textId="77777777" w:rsidR="00DA162D" w:rsidRPr="00411842" w:rsidRDefault="00DA162D" w:rsidP="006F3BB6">
            <w:pPr>
              <w:pStyle w:val="Paragraphtext"/>
              <w:rPr>
                <w:color w:val="auto"/>
                <w:sz w:val="22"/>
                <w:szCs w:val="22"/>
                <w:lang w:val="en-GB"/>
              </w:rPr>
            </w:pPr>
            <w:r w:rsidRPr="00411842">
              <w:rPr>
                <w:color w:val="auto"/>
                <w:sz w:val="22"/>
                <w:szCs w:val="22"/>
                <w:lang w:val="en-GB"/>
              </w:rPr>
              <w:t>ECF is maintaining a database of EuroVelo routes, including information on certification status. The information is available down to a scale of 1 km</w:t>
            </w:r>
          </w:p>
        </w:tc>
      </w:tr>
      <w:tr w:rsidR="00DA162D" w:rsidRPr="00411842" w14:paraId="4B931519" w14:textId="77777777" w:rsidTr="006F3BB6">
        <w:tc>
          <w:tcPr>
            <w:tcW w:w="3220" w:type="dxa"/>
            <w:shd w:val="clear" w:color="auto" w:fill="EFF5D5" w:themeFill="accent2" w:themeFillTint="33"/>
          </w:tcPr>
          <w:p w14:paraId="4DADCAF0" w14:textId="77777777" w:rsidR="00DA162D" w:rsidRPr="00411842" w:rsidRDefault="00DA162D" w:rsidP="006F3BB6">
            <w:pPr>
              <w:pStyle w:val="Paragraphtext"/>
              <w:rPr>
                <w:color w:val="auto"/>
                <w:sz w:val="22"/>
                <w:szCs w:val="22"/>
                <w:lang w:val="en-GB"/>
              </w:rPr>
            </w:pPr>
            <w:r w:rsidRPr="00411842">
              <w:rPr>
                <w:color w:val="auto"/>
                <w:sz w:val="22"/>
                <w:szCs w:val="22"/>
                <w:lang w:val="en-GB"/>
              </w:rPr>
              <w:t>Member states with long term road safety programs including cycling action plan.</w:t>
            </w:r>
          </w:p>
        </w:tc>
        <w:tc>
          <w:tcPr>
            <w:tcW w:w="3425" w:type="dxa"/>
            <w:shd w:val="clear" w:color="auto" w:fill="EFF5D5" w:themeFill="accent2" w:themeFillTint="33"/>
          </w:tcPr>
          <w:p w14:paraId="1F4F4875" w14:textId="77777777" w:rsidR="00DA162D" w:rsidRPr="00411842" w:rsidRDefault="00DA162D" w:rsidP="006F3BB6">
            <w:pPr>
              <w:pStyle w:val="Paragraphtext"/>
              <w:rPr>
                <w:color w:val="auto"/>
                <w:sz w:val="22"/>
                <w:szCs w:val="22"/>
                <w:lang w:val="en-GB"/>
              </w:rPr>
            </w:pPr>
            <w:r w:rsidRPr="00411842">
              <w:rPr>
                <w:color w:val="auto"/>
                <w:sz w:val="22"/>
                <w:szCs w:val="22"/>
                <w:lang w:val="en-GB"/>
              </w:rPr>
              <w:t>For good governance and continued focus on road safety improvements public authorities should have goals and outline how to achieve their goals</w:t>
            </w:r>
          </w:p>
        </w:tc>
        <w:tc>
          <w:tcPr>
            <w:tcW w:w="3014" w:type="dxa"/>
            <w:shd w:val="clear" w:color="auto" w:fill="EFF5D5" w:themeFill="accent2" w:themeFillTint="33"/>
          </w:tcPr>
          <w:p w14:paraId="3F9B803A" w14:textId="77777777" w:rsidR="00DA162D" w:rsidRPr="00411842" w:rsidRDefault="00DA162D" w:rsidP="006F3BB6">
            <w:pPr>
              <w:pStyle w:val="Paragraphtext"/>
              <w:rPr>
                <w:color w:val="auto"/>
                <w:sz w:val="22"/>
                <w:szCs w:val="22"/>
                <w:lang w:val="en-GB"/>
              </w:rPr>
            </w:pPr>
            <w:r w:rsidRPr="00411842">
              <w:rPr>
                <w:color w:val="auto"/>
                <w:sz w:val="22"/>
                <w:szCs w:val="22"/>
                <w:lang w:val="en-GB"/>
              </w:rPr>
              <w:t>Counting of national action plans</w:t>
            </w:r>
          </w:p>
        </w:tc>
      </w:tr>
      <w:tr w:rsidR="00DA162D" w:rsidRPr="00411842" w14:paraId="2BD6601B" w14:textId="77777777" w:rsidTr="006F3BB6">
        <w:tc>
          <w:tcPr>
            <w:tcW w:w="3220" w:type="dxa"/>
            <w:shd w:val="clear" w:color="auto" w:fill="EFF5D5" w:themeFill="accent2" w:themeFillTint="33"/>
          </w:tcPr>
          <w:p w14:paraId="649D4CBA" w14:textId="3A9B06FC" w:rsidR="00DA162D" w:rsidRPr="00411842" w:rsidRDefault="00DA162D" w:rsidP="006F3BB6">
            <w:pPr>
              <w:pStyle w:val="Paragraphtext"/>
              <w:rPr>
                <w:color w:val="auto"/>
                <w:sz w:val="22"/>
                <w:szCs w:val="22"/>
                <w:lang w:val="en-GB"/>
              </w:rPr>
            </w:pPr>
            <w:r w:rsidRPr="00411842">
              <w:rPr>
                <w:color w:val="auto"/>
                <w:sz w:val="22"/>
                <w:szCs w:val="22"/>
                <w:lang w:val="en-GB"/>
              </w:rPr>
              <w:t xml:space="preserve">% of </w:t>
            </w:r>
            <w:r w:rsidR="00C4031B" w:rsidRPr="00411842">
              <w:rPr>
                <w:color w:val="auto"/>
                <w:sz w:val="22"/>
                <w:szCs w:val="22"/>
                <w:lang w:val="en-GB"/>
              </w:rPr>
              <w:t>third-party</w:t>
            </w:r>
            <w:r w:rsidRPr="00411842">
              <w:rPr>
                <w:color w:val="auto"/>
                <w:sz w:val="22"/>
                <w:szCs w:val="22"/>
                <w:lang w:val="en-GB"/>
              </w:rPr>
              <w:t xml:space="preserve"> crashes by mode</w:t>
            </w:r>
          </w:p>
        </w:tc>
        <w:tc>
          <w:tcPr>
            <w:tcW w:w="3425" w:type="dxa"/>
            <w:shd w:val="clear" w:color="auto" w:fill="EFF5D5" w:themeFill="accent2" w:themeFillTint="33"/>
          </w:tcPr>
          <w:p w14:paraId="019563F3" w14:textId="77777777" w:rsidR="00DA162D" w:rsidRPr="00411842" w:rsidRDefault="00DA162D" w:rsidP="006F3BB6">
            <w:pPr>
              <w:pStyle w:val="Paragraphtext"/>
              <w:rPr>
                <w:color w:val="auto"/>
                <w:sz w:val="22"/>
                <w:szCs w:val="22"/>
                <w:lang w:val="en-GB"/>
              </w:rPr>
            </w:pPr>
            <w:r w:rsidRPr="00411842">
              <w:rPr>
                <w:color w:val="auto"/>
                <w:sz w:val="22"/>
                <w:szCs w:val="22"/>
                <w:lang w:val="en-GB"/>
              </w:rPr>
              <w:t>Understanding crash opponents would be useful data to understand. Risk for third party crash opponents.</w:t>
            </w:r>
          </w:p>
        </w:tc>
        <w:tc>
          <w:tcPr>
            <w:tcW w:w="3014" w:type="dxa"/>
            <w:shd w:val="clear" w:color="auto" w:fill="EFF5D5" w:themeFill="accent2" w:themeFillTint="33"/>
          </w:tcPr>
          <w:p w14:paraId="5B2815BA" w14:textId="77777777" w:rsidR="00DA162D" w:rsidRPr="00411842" w:rsidRDefault="00DA162D" w:rsidP="006F3BB6">
            <w:pPr>
              <w:pStyle w:val="Paragraphtext"/>
              <w:rPr>
                <w:color w:val="auto"/>
                <w:sz w:val="22"/>
                <w:szCs w:val="22"/>
                <w:lang w:val="en-GB"/>
              </w:rPr>
            </w:pPr>
            <w:r w:rsidRPr="00411842">
              <w:rPr>
                <w:color w:val="auto"/>
                <w:sz w:val="22"/>
                <w:szCs w:val="22"/>
                <w:lang w:val="en-GB"/>
              </w:rPr>
              <w:t xml:space="preserve">Number of crash opponents between and within modes of transport </w:t>
            </w:r>
          </w:p>
        </w:tc>
      </w:tr>
    </w:tbl>
    <w:p w14:paraId="62C42007" w14:textId="77777777" w:rsidR="00B33F52" w:rsidRPr="00B33F52" w:rsidRDefault="00B33F52" w:rsidP="00B33F52">
      <w:pPr>
        <w:pStyle w:val="Paragraphtext"/>
        <w:rPr>
          <w:lang w:val="en-GB"/>
        </w:rPr>
      </w:pPr>
    </w:p>
    <w:p w14:paraId="386F173E" w14:textId="56BDDBA3" w:rsidR="006F50A0" w:rsidRPr="00B33F52" w:rsidRDefault="006F50A0" w:rsidP="00B33F52">
      <w:pPr>
        <w:pStyle w:val="ECF-Heading1"/>
        <w:numPr>
          <w:ilvl w:val="0"/>
          <w:numId w:val="31"/>
        </w:numPr>
        <w:rPr>
          <w:rStyle w:val="ECFboldtextChar"/>
          <w:bCs w:val="0"/>
          <w:spacing w:val="0"/>
          <w:sz w:val="24"/>
          <w:szCs w:val="24"/>
        </w:rPr>
      </w:pPr>
      <w:r w:rsidRPr="00B33F52">
        <w:rPr>
          <w:rStyle w:val="ECFboldtextChar"/>
          <w:bCs w:val="0"/>
          <w:spacing w:val="0"/>
          <w:sz w:val="24"/>
          <w:szCs w:val="24"/>
        </w:rPr>
        <w:t>Benefits of cycling</w:t>
      </w:r>
    </w:p>
    <w:p w14:paraId="63C29B8A" w14:textId="77777777" w:rsidR="006F50A0" w:rsidRPr="00411842" w:rsidRDefault="006F50A0" w:rsidP="006F50A0">
      <w:pPr>
        <w:pStyle w:val="Paragraphtext"/>
        <w:rPr>
          <w:b/>
          <w:bCs/>
          <w:i/>
          <w:iCs/>
          <w:u w:val="single"/>
          <w:lang w:val="en-GB"/>
        </w:rPr>
      </w:pPr>
    </w:p>
    <w:p w14:paraId="37BD63F1" w14:textId="3AADB631" w:rsidR="006F50A0" w:rsidRPr="00411842" w:rsidRDefault="006F50A0" w:rsidP="006F50A0">
      <w:pPr>
        <w:pStyle w:val="Paragraphtext"/>
        <w:rPr>
          <w:iCs/>
          <w:lang w:val="en-GB"/>
        </w:rPr>
      </w:pPr>
      <w:r w:rsidRPr="006F50A0">
        <w:rPr>
          <w:iCs/>
          <w:lang w:val="en-GB"/>
        </w:rPr>
        <w:t>ECF has produced a document highlighting the Benefits of Cycling</w:t>
      </w:r>
      <w:r w:rsidRPr="006F50A0">
        <w:rPr>
          <w:vertAlign w:val="superscript"/>
          <w:lang w:val="en-GB"/>
        </w:rPr>
        <w:footnoteReference w:id="34"/>
      </w:r>
      <w:r w:rsidRPr="006F50A0">
        <w:rPr>
          <w:iCs/>
          <w:lang w:val="en-GB"/>
        </w:rPr>
        <w:t xml:space="preserve">. At current levels, cycling already produces benefits for the EU in excess of 150 billion euros per year. More than 90 billion euros of this comes from positive externalities for the environment, public health and the mobility system. </w:t>
      </w:r>
      <w:r w:rsidR="00ED5172">
        <w:rPr>
          <w:iCs/>
          <w:lang w:val="en-GB"/>
        </w:rPr>
        <w:t>B</w:t>
      </w:r>
      <w:r w:rsidRPr="006F50A0">
        <w:rPr>
          <w:iCs/>
          <w:lang w:val="en-GB"/>
        </w:rPr>
        <w:t>enefits include:</w:t>
      </w:r>
    </w:p>
    <w:p w14:paraId="1B2280E4" w14:textId="77777777" w:rsidR="006F50A0" w:rsidRPr="006F50A0" w:rsidRDefault="006F50A0" w:rsidP="006F50A0">
      <w:pPr>
        <w:pStyle w:val="Paragraphtext"/>
        <w:rPr>
          <w:b/>
          <w:bCs/>
          <w:i/>
          <w:iCs/>
          <w:u w:val="single"/>
          <w:lang w:val="en-GB"/>
        </w:rPr>
      </w:pPr>
    </w:p>
    <w:p w14:paraId="77AFDD74" w14:textId="2A8964A9" w:rsidR="006F50A0" w:rsidRPr="006F50A0" w:rsidRDefault="006F50A0" w:rsidP="006F50A0">
      <w:pPr>
        <w:pStyle w:val="Paragraphtext"/>
        <w:numPr>
          <w:ilvl w:val="0"/>
          <w:numId w:val="24"/>
        </w:numPr>
        <w:rPr>
          <w:i/>
          <w:iCs/>
          <w:lang w:val="en-GB"/>
        </w:rPr>
      </w:pPr>
      <w:r w:rsidRPr="006F50A0">
        <w:rPr>
          <w:iCs/>
          <w:lang w:val="en-GB"/>
        </w:rPr>
        <w:lastRenderedPageBreak/>
        <w:t>Cycling reducing CO2(e) emissions by more than 16 million tons per year</w:t>
      </w:r>
      <w:r w:rsidRPr="00411842">
        <w:rPr>
          <w:iCs/>
          <w:lang w:val="en-GB"/>
        </w:rPr>
        <w:t>.</w:t>
      </w:r>
    </w:p>
    <w:p w14:paraId="30CFA13B" w14:textId="3818CD51" w:rsidR="006F50A0" w:rsidRPr="006F50A0" w:rsidRDefault="006F50A0" w:rsidP="006F50A0">
      <w:pPr>
        <w:pStyle w:val="Paragraphtext"/>
        <w:numPr>
          <w:ilvl w:val="0"/>
          <w:numId w:val="24"/>
        </w:numPr>
        <w:rPr>
          <w:i/>
          <w:iCs/>
          <w:lang w:val="en-GB"/>
        </w:rPr>
      </w:pPr>
      <w:r w:rsidRPr="006F50A0">
        <w:rPr>
          <w:iCs/>
          <w:lang w:val="en-GB"/>
        </w:rPr>
        <w:t>The overall value of reduced air pollution though cycling equalling around 435 million euros</w:t>
      </w:r>
      <w:r w:rsidRPr="00411842">
        <w:rPr>
          <w:iCs/>
          <w:lang w:val="en-GB"/>
        </w:rPr>
        <w:t>.</w:t>
      </w:r>
    </w:p>
    <w:p w14:paraId="2869121A" w14:textId="5B35C022" w:rsidR="006F50A0" w:rsidRPr="006F50A0" w:rsidRDefault="006F50A0" w:rsidP="006F50A0">
      <w:pPr>
        <w:pStyle w:val="Paragraphtext"/>
        <w:numPr>
          <w:ilvl w:val="0"/>
          <w:numId w:val="24"/>
        </w:numPr>
        <w:rPr>
          <w:i/>
          <w:iCs/>
          <w:lang w:val="en-GB"/>
        </w:rPr>
      </w:pPr>
      <w:r w:rsidRPr="006F50A0">
        <w:rPr>
          <w:iCs/>
          <w:lang w:val="en-GB"/>
        </w:rPr>
        <w:t>The overall value of reduced noise pollution through cycling equalling around 300 million euros</w:t>
      </w:r>
      <w:r w:rsidRPr="00411842">
        <w:rPr>
          <w:iCs/>
          <w:lang w:val="en-GB"/>
        </w:rPr>
        <w:t>.</w:t>
      </w:r>
    </w:p>
    <w:p w14:paraId="61E835BA" w14:textId="0AFC29D8" w:rsidR="006F50A0" w:rsidRPr="006F50A0" w:rsidRDefault="006F50A0" w:rsidP="006F50A0">
      <w:pPr>
        <w:pStyle w:val="Paragraphtext"/>
        <w:numPr>
          <w:ilvl w:val="0"/>
          <w:numId w:val="24"/>
        </w:numPr>
        <w:rPr>
          <w:i/>
          <w:iCs/>
          <w:lang w:val="en-GB"/>
        </w:rPr>
      </w:pPr>
      <w:r w:rsidRPr="006F50A0">
        <w:rPr>
          <w:iCs/>
          <w:lang w:val="en-GB"/>
        </w:rPr>
        <w:t>The current levels of cycling in the EU correspond to motor vehicle fuel savings of more than 3 billion litres per year (fuel savings of almost 4 billion euros)</w:t>
      </w:r>
      <w:r w:rsidR="00ED5172">
        <w:rPr>
          <w:iCs/>
          <w:lang w:val="en-GB"/>
        </w:rPr>
        <w:t>.</w:t>
      </w:r>
    </w:p>
    <w:p w14:paraId="246208F3" w14:textId="21086C76" w:rsidR="006F50A0" w:rsidRPr="006F50A0" w:rsidRDefault="006F50A0" w:rsidP="006F50A0">
      <w:pPr>
        <w:pStyle w:val="Paragraphtext"/>
        <w:numPr>
          <w:ilvl w:val="0"/>
          <w:numId w:val="24"/>
        </w:numPr>
        <w:rPr>
          <w:i/>
          <w:iCs/>
          <w:lang w:val="en-GB"/>
        </w:rPr>
      </w:pPr>
      <w:r w:rsidRPr="006F50A0">
        <w:rPr>
          <w:iCs/>
          <w:lang w:val="en-GB"/>
        </w:rPr>
        <w:t>Cycling preventing 18,110 premature deaths per year in the EU-28. This corresponds to an economic value of 52 billion euros per year</w:t>
      </w:r>
      <w:r w:rsidRPr="00411842">
        <w:rPr>
          <w:iCs/>
          <w:lang w:val="en-GB"/>
        </w:rPr>
        <w:t>.</w:t>
      </w:r>
    </w:p>
    <w:p w14:paraId="5FFE06BA" w14:textId="69F2C1F9" w:rsidR="006F50A0" w:rsidRPr="006F50A0" w:rsidRDefault="006F50A0" w:rsidP="006F50A0">
      <w:pPr>
        <w:pStyle w:val="Paragraphtext"/>
        <w:numPr>
          <w:ilvl w:val="0"/>
          <w:numId w:val="24"/>
        </w:numPr>
        <w:rPr>
          <w:i/>
          <w:iCs/>
          <w:lang w:val="en-GB"/>
        </w:rPr>
      </w:pPr>
      <w:r w:rsidRPr="006F50A0">
        <w:rPr>
          <w:iCs/>
          <w:lang w:val="en-GB"/>
        </w:rPr>
        <w:t>The value of the bicycle market in Europe was estimated at 13.2 billion euros in 2016</w:t>
      </w:r>
      <w:r w:rsidRPr="00411842">
        <w:rPr>
          <w:iCs/>
          <w:lang w:val="en-GB"/>
        </w:rPr>
        <w:t>.</w:t>
      </w:r>
    </w:p>
    <w:p w14:paraId="2F54ED1B" w14:textId="35334573" w:rsidR="006F50A0" w:rsidRPr="006F50A0" w:rsidRDefault="006F50A0" w:rsidP="006F50A0">
      <w:pPr>
        <w:pStyle w:val="Paragraphtext"/>
        <w:numPr>
          <w:ilvl w:val="0"/>
          <w:numId w:val="24"/>
        </w:numPr>
        <w:rPr>
          <w:i/>
          <w:iCs/>
          <w:lang w:val="en-GB"/>
        </w:rPr>
      </w:pPr>
      <w:r w:rsidRPr="006F50A0">
        <w:rPr>
          <w:iCs/>
          <w:lang w:val="en-GB"/>
        </w:rPr>
        <w:t>There is an estimated 2.3 billion cycle tourism trips per year in the EU, with a total economic value of 44 billion euros</w:t>
      </w:r>
      <w:r w:rsidR="00ED5172">
        <w:rPr>
          <w:iCs/>
          <w:lang w:val="en-GB"/>
        </w:rPr>
        <w:t>.</w:t>
      </w:r>
    </w:p>
    <w:p w14:paraId="6818EEFC" w14:textId="7E42F660" w:rsidR="006F50A0" w:rsidRPr="006F50A0" w:rsidRDefault="006F50A0" w:rsidP="006F50A0">
      <w:pPr>
        <w:pStyle w:val="Paragraphtext"/>
        <w:numPr>
          <w:ilvl w:val="0"/>
          <w:numId w:val="24"/>
        </w:numPr>
        <w:rPr>
          <w:i/>
          <w:iCs/>
          <w:lang w:val="en-GB"/>
        </w:rPr>
      </w:pPr>
      <w:r w:rsidRPr="006F50A0">
        <w:rPr>
          <w:iCs/>
          <w:lang w:val="en-GB"/>
        </w:rPr>
        <w:t>The value of congestion easing through cycling for the EU equals around 6.8 billion euros per year</w:t>
      </w:r>
      <w:r w:rsidRPr="00411842">
        <w:rPr>
          <w:iCs/>
          <w:lang w:val="en-GB"/>
        </w:rPr>
        <w:t>.</w:t>
      </w:r>
    </w:p>
    <w:p w14:paraId="1F953302" w14:textId="785F6217" w:rsidR="006F50A0" w:rsidRPr="006F50A0" w:rsidRDefault="006F50A0" w:rsidP="006F50A0">
      <w:pPr>
        <w:pStyle w:val="Paragraphtext"/>
        <w:numPr>
          <w:ilvl w:val="0"/>
          <w:numId w:val="24"/>
        </w:numPr>
        <w:rPr>
          <w:iCs/>
          <w:lang w:val="en-GB"/>
        </w:rPr>
      </w:pPr>
      <w:r w:rsidRPr="006F50A0">
        <w:rPr>
          <w:iCs/>
          <w:lang w:val="en-GB"/>
        </w:rPr>
        <w:t>The annual costs for the construction and maintenance of infrastructure for motorised transport that are saved through cycling in the EU amount to 2.9 billion euros per year</w:t>
      </w:r>
      <w:r w:rsidRPr="00411842">
        <w:rPr>
          <w:iCs/>
          <w:lang w:val="en-GB"/>
        </w:rPr>
        <w:t>.</w:t>
      </w:r>
    </w:p>
    <w:p w14:paraId="4E1B7804" w14:textId="77777777" w:rsidR="00FE1065" w:rsidRDefault="00FE1065" w:rsidP="00FE1065">
      <w:pPr>
        <w:pStyle w:val="Paragraphtext"/>
        <w:rPr>
          <w:iCs/>
          <w:lang w:val="en-GB"/>
        </w:rPr>
      </w:pPr>
    </w:p>
    <w:p w14:paraId="178D4CBE" w14:textId="5D5F1657" w:rsidR="006F50A0" w:rsidRPr="00411842" w:rsidRDefault="006F50A0" w:rsidP="00FE1065">
      <w:pPr>
        <w:pStyle w:val="Paragraphtext"/>
        <w:rPr>
          <w:lang w:val="en-GB"/>
        </w:rPr>
      </w:pPr>
      <w:r w:rsidRPr="00411842">
        <w:rPr>
          <w:iCs/>
          <w:lang w:val="en-GB"/>
        </w:rPr>
        <w:t xml:space="preserve">This list of benefits highlights the need to link cycling safety with cycling promotion and for safety to </w:t>
      </w:r>
      <w:r w:rsidR="00091A8D">
        <w:rPr>
          <w:iCs/>
          <w:lang w:val="en-GB"/>
        </w:rPr>
        <w:t>be a key tool to increase</w:t>
      </w:r>
      <w:r w:rsidRPr="00411842">
        <w:rPr>
          <w:iCs/>
          <w:lang w:val="en-GB"/>
        </w:rPr>
        <w:t xml:space="preserve"> the numbers of cyclists.</w:t>
      </w:r>
    </w:p>
    <w:sectPr w:rsidR="006F50A0" w:rsidRPr="00411842" w:rsidSect="00522628">
      <w:headerReference w:type="default" r:id="rId14"/>
      <w:footerReference w:type="default" r:id="rId15"/>
      <w:headerReference w:type="first" r:id="rId16"/>
      <w:footerReference w:type="first" r:id="rId17"/>
      <w:type w:val="continuous"/>
      <w:pgSz w:w="11906" w:h="16838" w:code="9"/>
      <w:pgMar w:top="1701" w:right="1196" w:bottom="1701" w:left="1021"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C183F" w14:textId="77777777" w:rsidR="009F63C3" w:rsidRDefault="009F63C3">
      <w:r>
        <w:separator/>
      </w:r>
    </w:p>
    <w:p w14:paraId="47EB104A" w14:textId="77777777" w:rsidR="009F63C3" w:rsidRDefault="009F63C3"/>
  </w:endnote>
  <w:endnote w:type="continuationSeparator" w:id="0">
    <w:p w14:paraId="70EBE11F" w14:textId="77777777" w:rsidR="009F63C3" w:rsidRDefault="009F63C3">
      <w:r>
        <w:continuationSeparator/>
      </w:r>
    </w:p>
    <w:p w14:paraId="24284DF0" w14:textId="77777777" w:rsidR="009F63C3" w:rsidRDefault="009F6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Regular">
    <w:altName w:val="Courier New"/>
    <w:charset w:val="00"/>
    <w:family w:val="auto"/>
    <w:pitch w:val="variable"/>
    <w:sig w:usb0="00000083" w:usb1="00000000" w:usb2="00000000" w:usb3="00000000" w:csb0="00000009" w:csb1="00000000"/>
  </w:font>
  <w:font w:name="FuturaTEE">
    <w:altName w:val="Century Gothic"/>
    <w:panose1 w:val="00000000000000000000"/>
    <w:charset w:val="00"/>
    <w:family w:val="auto"/>
    <w:pitch w:val="variable"/>
    <w:sig w:usb0="A0000007" w:usb1="00000008" w:usb2="00000000" w:usb3="00000000" w:csb0="00000111" w:csb1="00000000"/>
  </w:font>
  <w:font w:name="Tahoma">
    <w:panose1 w:val="020B0604030504040204"/>
    <w:charset w:val="00"/>
    <w:family w:val="swiss"/>
    <w:pitch w:val="variable"/>
    <w:sig w:usb0="E1002EFF" w:usb1="C000605B" w:usb2="00000029" w:usb3="00000000" w:csb0="000101FF" w:csb1="00000000"/>
  </w:font>
  <w:font w:name="FuturaBold Ro">
    <w:altName w:val="Century Gothic"/>
    <w:panose1 w:val="00000400000000000000"/>
    <w:charset w:val="00"/>
    <w:family w:val="auto"/>
    <w:pitch w:val="variable"/>
    <w:sig w:usb0="800000AF" w:usb1="10000048" w:usb2="00000000" w:usb3="00000000" w:csb0="00000001" w:csb1="00000000"/>
  </w:font>
  <w:font w:name="Futura">
    <w:altName w:val="Lucida Sans Unicode"/>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Futura Lt BT">
    <w:altName w:val="Segoe UI Semilight"/>
    <w:panose1 w:val="020B0402020204020303"/>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5E17" w14:textId="77777777" w:rsidR="009F1690" w:rsidRPr="00670E60" w:rsidRDefault="00522628" w:rsidP="00522628">
    <w:pPr>
      <w:pStyle w:val="Pieddepage"/>
      <w:jc w:val="right"/>
      <w:rPr>
        <w:sz w:val="20"/>
        <w:szCs w:val="20"/>
      </w:rPr>
    </w:pPr>
    <w:r>
      <w:rPr>
        <w:noProof/>
      </w:rPr>
      <w:drawing>
        <wp:anchor distT="0" distB="0" distL="114300" distR="114300" simplePos="0" relativeHeight="251659264" behindDoc="1" locked="0" layoutInCell="1" allowOverlap="1" wp14:anchorId="01030F63" wp14:editId="6D720A00">
          <wp:simplePos x="0" y="0"/>
          <wp:positionH relativeFrom="page">
            <wp:align>right</wp:align>
          </wp:positionH>
          <wp:positionV relativeFrom="paragraph">
            <wp:posOffset>220980</wp:posOffset>
          </wp:positionV>
          <wp:extent cx="7543165" cy="523875"/>
          <wp:effectExtent l="0" t="0" r="63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83" t="28640" r="17638" b="63099"/>
                  <a:stretch/>
                </pic:blipFill>
                <pic:spPr bwMode="auto">
                  <a:xfrm>
                    <a:off x="0" y="0"/>
                    <a:ext cx="754316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690" w:rsidRPr="00670E60">
      <w:rPr>
        <w:rStyle w:val="Numrodepage"/>
        <w:rFonts w:ascii="Futura Lt BT" w:hAnsi="Futura Lt BT"/>
        <w:color w:val="038E9A"/>
        <w:sz w:val="20"/>
        <w:szCs w:val="20"/>
      </w:rPr>
      <w:t xml:space="preserve">Page </w:t>
    </w:r>
    <w:r w:rsidR="005009B8" w:rsidRPr="00670E60">
      <w:rPr>
        <w:rStyle w:val="Numrodepage"/>
        <w:rFonts w:ascii="Futura Lt BT" w:hAnsi="Futura Lt BT"/>
        <w:color w:val="038E9A"/>
        <w:sz w:val="20"/>
        <w:szCs w:val="20"/>
      </w:rPr>
      <w:fldChar w:fldCharType="begin"/>
    </w:r>
    <w:r w:rsidR="009F1690" w:rsidRPr="00670E60">
      <w:rPr>
        <w:rStyle w:val="Numrodepage"/>
        <w:rFonts w:ascii="Futura Lt BT" w:hAnsi="Futura Lt BT"/>
        <w:color w:val="038E9A"/>
        <w:sz w:val="20"/>
        <w:szCs w:val="20"/>
      </w:rPr>
      <w:instrText xml:space="preserve"> PAGE </w:instrText>
    </w:r>
    <w:r w:rsidR="005009B8" w:rsidRPr="00670E60">
      <w:rPr>
        <w:rStyle w:val="Numrodepage"/>
        <w:rFonts w:ascii="Futura Lt BT" w:hAnsi="Futura Lt BT"/>
        <w:color w:val="038E9A"/>
        <w:sz w:val="20"/>
        <w:szCs w:val="20"/>
      </w:rPr>
      <w:fldChar w:fldCharType="separate"/>
    </w:r>
    <w:r w:rsidR="000F59BA">
      <w:rPr>
        <w:rStyle w:val="Numrodepage"/>
        <w:rFonts w:ascii="Futura Lt BT" w:hAnsi="Futura Lt BT"/>
        <w:color w:val="038E9A"/>
        <w:sz w:val="20"/>
        <w:szCs w:val="20"/>
      </w:rPr>
      <w:t>3</w:t>
    </w:r>
    <w:r w:rsidR="005009B8" w:rsidRPr="00670E60">
      <w:rPr>
        <w:rStyle w:val="Numrodepage"/>
        <w:rFonts w:ascii="Futura Lt BT" w:hAnsi="Futura Lt BT"/>
        <w:color w:val="038E9A"/>
        <w:sz w:val="20"/>
        <w:szCs w:val="20"/>
      </w:rPr>
      <w:fldChar w:fldCharType="end"/>
    </w:r>
    <w:r w:rsidR="009F1690" w:rsidRPr="00670E60">
      <w:rPr>
        <w:rStyle w:val="Numrodepage"/>
        <w:rFonts w:ascii="Futura Lt BT" w:hAnsi="Futura Lt BT"/>
        <w:color w:val="038E9A"/>
        <w:sz w:val="20"/>
        <w:szCs w:val="20"/>
      </w:rPr>
      <w:t>/</w:t>
    </w:r>
    <w:r w:rsidR="00F64F57">
      <w:rPr>
        <w:sz w:val="20"/>
        <w:szCs w:val="20"/>
      </w:rPr>
      <w:fldChar w:fldCharType="begin"/>
    </w:r>
    <w:r w:rsidR="00F64F57">
      <w:rPr>
        <w:sz w:val="20"/>
        <w:szCs w:val="20"/>
      </w:rPr>
      <w:instrText xml:space="preserve"> NUMPAGES  \* Arabic  \* MERGEFORMAT </w:instrText>
    </w:r>
    <w:r w:rsidR="00F64F57">
      <w:rPr>
        <w:sz w:val="20"/>
        <w:szCs w:val="20"/>
      </w:rPr>
      <w:fldChar w:fldCharType="separate"/>
    </w:r>
    <w:r w:rsidR="000F59BA" w:rsidRPr="000F59BA">
      <w:rPr>
        <w:sz w:val="20"/>
        <w:szCs w:val="20"/>
      </w:rPr>
      <w:t>3</w:t>
    </w:r>
    <w:r w:rsidR="00F64F5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60B00" w14:textId="53C97AA2" w:rsidR="009F1690" w:rsidRPr="00B47FC3" w:rsidRDefault="00522628" w:rsidP="00522628">
    <w:pPr>
      <w:pStyle w:val="Pieddepage"/>
      <w:jc w:val="right"/>
    </w:pPr>
    <w:r>
      <w:rPr>
        <w:noProof/>
      </w:rPr>
      <w:drawing>
        <wp:anchor distT="0" distB="0" distL="114300" distR="114300" simplePos="0" relativeHeight="251657216" behindDoc="1" locked="0" layoutInCell="1" allowOverlap="1" wp14:anchorId="3A74B277" wp14:editId="29EF40CB">
          <wp:simplePos x="0" y="0"/>
          <wp:positionH relativeFrom="page">
            <wp:posOffset>0</wp:posOffset>
          </wp:positionH>
          <wp:positionV relativeFrom="paragraph">
            <wp:posOffset>125730</wp:posOffset>
          </wp:positionV>
          <wp:extent cx="7543165" cy="5238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83" t="28640" r="17638" b="63099"/>
                  <a:stretch/>
                </pic:blipFill>
                <pic:spPr bwMode="auto">
                  <a:xfrm>
                    <a:off x="0" y="0"/>
                    <a:ext cx="754316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690">
      <w:rPr>
        <w:rStyle w:val="Numrodepage"/>
        <w:rFonts w:ascii="Futura Lt BT" w:hAnsi="Futura Lt BT"/>
        <w:color w:val="038E9A"/>
        <w:sz w:val="20"/>
      </w:rPr>
      <w:t xml:space="preserve">Page </w:t>
    </w:r>
    <w:r w:rsidR="005009B8" w:rsidRPr="00B47FC3">
      <w:rPr>
        <w:rStyle w:val="Numrodepage"/>
        <w:rFonts w:ascii="Futura Lt BT" w:hAnsi="Futura Lt BT"/>
        <w:color w:val="038E9A"/>
        <w:sz w:val="20"/>
      </w:rPr>
      <w:fldChar w:fldCharType="begin"/>
    </w:r>
    <w:r w:rsidR="009F1690" w:rsidRPr="00B47FC3">
      <w:rPr>
        <w:rStyle w:val="Numrodepage"/>
        <w:rFonts w:ascii="Futura Lt BT" w:hAnsi="Futura Lt BT"/>
        <w:color w:val="038E9A"/>
        <w:sz w:val="20"/>
      </w:rPr>
      <w:instrText xml:space="preserve"> PAGE </w:instrText>
    </w:r>
    <w:r w:rsidR="005009B8" w:rsidRPr="00B47FC3">
      <w:rPr>
        <w:rStyle w:val="Numrodepage"/>
        <w:rFonts w:ascii="Futura Lt BT" w:hAnsi="Futura Lt BT"/>
        <w:color w:val="038E9A"/>
        <w:sz w:val="20"/>
      </w:rPr>
      <w:fldChar w:fldCharType="separate"/>
    </w:r>
    <w:r w:rsidR="000F59BA">
      <w:rPr>
        <w:rStyle w:val="Numrodepage"/>
        <w:rFonts w:ascii="Futura Lt BT" w:hAnsi="Futura Lt BT"/>
        <w:color w:val="038E9A"/>
        <w:sz w:val="20"/>
      </w:rPr>
      <w:t>1</w:t>
    </w:r>
    <w:r w:rsidR="005009B8" w:rsidRPr="00B47FC3">
      <w:rPr>
        <w:rStyle w:val="Numrodepage"/>
        <w:rFonts w:ascii="Futura Lt BT" w:hAnsi="Futura Lt BT"/>
        <w:color w:val="038E9A"/>
        <w:sz w:val="20"/>
      </w:rPr>
      <w:fldChar w:fldCharType="end"/>
    </w:r>
    <w:r w:rsidR="009F1690">
      <w:rPr>
        <w:rStyle w:val="Numrodepage"/>
        <w:rFonts w:ascii="Futura Lt BT" w:hAnsi="Futura Lt BT"/>
        <w:color w:val="038E9A"/>
        <w:sz w:val="20"/>
      </w:rPr>
      <w:t>/</w:t>
    </w:r>
    <w:r w:rsidR="00F64F57">
      <w:rPr>
        <w:rStyle w:val="Numrodepage"/>
        <w:rFonts w:ascii="Futura Lt BT" w:hAnsi="Futura Lt BT"/>
        <w:color w:val="038E9A"/>
        <w:sz w:val="20"/>
      </w:rPr>
      <w:fldChar w:fldCharType="begin"/>
    </w:r>
    <w:r w:rsidR="00F64F57">
      <w:rPr>
        <w:rStyle w:val="Numrodepage"/>
        <w:rFonts w:ascii="Futura Lt BT" w:hAnsi="Futura Lt BT"/>
        <w:color w:val="038E9A"/>
        <w:sz w:val="20"/>
      </w:rPr>
      <w:instrText xml:space="preserve"> DOCPROPERTY  Pages  \* MERGEFORMAT </w:instrText>
    </w:r>
    <w:r w:rsidR="00F64F57">
      <w:rPr>
        <w:rStyle w:val="Numrodepage"/>
        <w:rFonts w:ascii="Futura Lt BT" w:hAnsi="Futura Lt BT"/>
        <w:color w:val="038E9A"/>
        <w:sz w:val="20"/>
      </w:rPr>
      <w:fldChar w:fldCharType="separate"/>
    </w:r>
    <w:r w:rsidR="006462DC">
      <w:rPr>
        <w:rStyle w:val="Numrodepage"/>
        <w:rFonts w:ascii="Futura Lt BT" w:hAnsi="Futura Lt BT"/>
        <w:color w:val="038E9A"/>
        <w:sz w:val="20"/>
      </w:rPr>
      <w:t>17</w:t>
    </w:r>
    <w:r w:rsidR="00F64F57">
      <w:rPr>
        <w:rStyle w:val="Numrodepage"/>
        <w:rFonts w:ascii="Futura Lt BT" w:hAnsi="Futura Lt BT"/>
        <w:color w:val="038E9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1D12E" w14:textId="77777777" w:rsidR="009F63C3" w:rsidRDefault="009F63C3">
      <w:r>
        <w:separator/>
      </w:r>
    </w:p>
    <w:p w14:paraId="6B4288C8" w14:textId="77777777" w:rsidR="009F63C3" w:rsidRDefault="009F63C3"/>
  </w:footnote>
  <w:footnote w:type="continuationSeparator" w:id="0">
    <w:p w14:paraId="25676A77" w14:textId="77777777" w:rsidR="009F63C3" w:rsidRDefault="009F63C3">
      <w:r>
        <w:continuationSeparator/>
      </w:r>
    </w:p>
    <w:p w14:paraId="0B6C1F17" w14:textId="77777777" w:rsidR="009F63C3" w:rsidRDefault="009F63C3"/>
  </w:footnote>
  <w:footnote w:id="1">
    <w:p w14:paraId="358E74ED" w14:textId="35CABFF6" w:rsidR="00090AAE" w:rsidRDefault="00090AAE" w:rsidP="00090AAE">
      <w:pPr>
        <w:pStyle w:val="Notedebasdepage"/>
      </w:pPr>
      <w:r>
        <w:rPr>
          <w:rStyle w:val="Appelnotedebasdep"/>
        </w:rPr>
        <w:footnoteRef/>
      </w:r>
      <w:r>
        <w:t xml:space="preserve"> </w:t>
      </w:r>
      <w:r w:rsidRPr="006D4B2F">
        <w:t xml:space="preserve">ETSC (2020), PIN Flash 38, How Safe is Walking and Cycling in Europe </w:t>
      </w:r>
      <w:hyperlink r:id="rId1" w:history="1">
        <w:r w:rsidR="00BB0790" w:rsidRPr="008F677F">
          <w:rPr>
            <w:rStyle w:val="Lienhypertexte"/>
            <w:sz w:val="20"/>
            <w:szCs w:val="20"/>
          </w:rPr>
          <w:t>https://etsc.eu/how-safe-is-walking-and-cycling-in-europe-pin-flash-38/</w:t>
        </w:r>
      </w:hyperlink>
      <w:r w:rsidR="00BB0790">
        <w:t xml:space="preserve"> </w:t>
      </w:r>
    </w:p>
  </w:footnote>
  <w:footnote w:id="2">
    <w:p w14:paraId="3CDEFC6A" w14:textId="4EEC8C31" w:rsidR="00C33C13" w:rsidRDefault="00C33C13" w:rsidP="00F65E77">
      <w:pPr>
        <w:pStyle w:val="Notedebasdepage"/>
      </w:pPr>
      <w:r w:rsidRPr="003813EF">
        <w:rPr>
          <w:rStyle w:val="Appelnotedebasdep"/>
        </w:rPr>
        <w:footnoteRef/>
      </w:r>
      <w:r>
        <w:t xml:space="preserve"> </w:t>
      </w:r>
      <w:r w:rsidR="00EA3991">
        <w:t xml:space="preserve">ECF 2016 </w:t>
      </w:r>
      <w:r w:rsidR="00F65E77">
        <w:t xml:space="preserve">The benefits of cycling; Unlocking their potential for Europe </w:t>
      </w:r>
      <w:hyperlink r:id="rId2" w:history="1">
        <w:r w:rsidR="00F65E77" w:rsidRPr="008F677F">
          <w:rPr>
            <w:rStyle w:val="Lienhypertexte"/>
            <w:sz w:val="20"/>
            <w:szCs w:val="20"/>
          </w:rPr>
          <w:t>https://ecf.com/what-we-do/cycling-economy/economic-benefits</w:t>
        </w:r>
      </w:hyperlink>
      <w:r w:rsidR="00E90E90">
        <w:t xml:space="preserve"> </w:t>
      </w:r>
    </w:p>
  </w:footnote>
  <w:footnote w:id="3">
    <w:p w14:paraId="7B11C7AD" w14:textId="77777777" w:rsidR="00B572DF" w:rsidRPr="006B5679" w:rsidRDefault="00B572DF" w:rsidP="00B572DF">
      <w:pPr>
        <w:pStyle w:val="Notedebasdepage"/>
      </w:pPr>
      <w:r w:rsidRPr="006B5679">
        <w:rPr>
          <w:rStyle w:val="Appelnotedebasdep"/>
        </w:rPr>
        <w:footnoteRef/>
      </w:r>
      <w:r w:rsidRPr="006B5679">
        <w:t xml:space="preserve"> </w:t>
      </w:r>
      <w:r>
        <w:t xml:space="preserve">DFT UK, 2015, </w:t>
      </w:r>
      <w:r w:rsidRPr="00153AEF">
        <w:rPr>
          <w:i/>
          <w:iCs/>
        </w:rPr>
        <w:t>Climate change and transport choices</w:t>
      </w:r>
      <w:r>
        <w:rPr>
          <w:i/>
          <w:iCs/>
        </w:rPr>
        <w:t xml:space="preserve">, </w:t>
      </w:r>
      <w:hyperlink r:id="rId3" w:history="1">
        <w:r w:rsidRPr="001D6444">
          <w:rPr>
            <w:rStyle w:val="Lienhypertexte"/>
            <w:sz w:val="20"/>
            <w:szCs w:val="20"/>
          </w:rPr>
          <w:t>https://www.gov.uk/government/publications/climate-change-and-transport-choices-segmentation-update</w:t>
        </w:r>
      </w:hyperlink>
      <w:r>
        <w:t xml:space="preserve"> </w:t>
      </w:r>
    </w:p>
  </w:footnote>
  <w:footnote w:id="4">
    <w:p w14:paraId="7569ED5F" w14:textId="576B8DB4" w:rsidR="007C2120" w:rsidRDefault="007C2120">
      <w:pPr>
        <w:pStyle w:val="Notedebasdepage"/>
      </w:pPr>
      <w:r>
        <w:rPr>
          <w:rStyle w:val="Appelnotedebasdep"/>
        </w:rPr>
        <w:footnoteRef/>
      </w:r>
      <w:hyperlink r:id="rId4" w:history="1">
        <w:r w:rsidRPr="008F677F">
          <w:rPr>
            <w:rStyle w:val="Lienhypertexte"/>
            <w:sz w:val="20"/>
            <w:szCs w:val="20"/>
          </w:rPr>
          <w:t>https://www.researchgate.net/publication/280316427_Dutch_Cycling_Quantifying_the_Health_and_Related_Economic_Benefits</w:t>
        </w:r>
      </w:hyperlink>
      <w:r>
        <w:t xml:space="preserve"> </w:t>
      </w:r>
    </w:p>
  </w:footnote>
  <w:footnote w:id="5">
    <w:p w14:paraId="195687EC" w14:textId="2A07A592" w:rsidR="00D61340" w:rsidRDefault="00D61340" w:rsidP="00D61340">
      <w:r>
        <w:rPr>
          <w:rStyle w:val="Appelnotedebasdep"/>
        </w:rPr>
        <w:footnoteRef/>
      </w:r>
      <w:r>
        <w:t xml:space="preserve"> </w:t>
      </w:r>
      <w:hyperlink r:id="rId5" w:history="1">
        <w:r w:rsidRPr="002230F3">
          <w:rPr>
            <w:rStyle w:val="Lienhypertexte"/>
          </w:rPr>
          <w:t>https://ec.europa.eu/transport/themes/sustainable-transport/internalisation-transport-external-costs_en</w:t>
        </w:r>
      </w:hyperlink>
      <w:r>
        <w:rPr>
          <w:rStyle w:val="Lienhypertexte"/>
        </w:rPr>
        <w:t xml:space="preserve"> </w:t>
      </w:r>
    </w:p>
  </w:footnote>
  <w:footnote w:id="6">
    <w:p w14:paraId="51863DA2" w14:textId="77777777" w:rsidR="00C33C13" w:rsidRPr="006B5679" w:rsidRDefault="00C33C13" w:rsidP="00C33C13">
      <w:pPr>
        <w:pStyle w:val="Notedebasdepage"/>
      </w:pPr>
      <w:r w:rsidRPr="006B5679">
        <w:rPr>
          <w:rStyle w:val="Appelnotedebasdep"/>
        </w:rPr>
        <w:footnoteRef/>
      </w:r>
      <w:r w:rsidRPr="006B5679">
        <w:t xml:space="preserve"> </w:t>
      </w:r>
      <w:r w:rsidRPr="003813EF">
        <w:t>Edwards</w:t>
      </w:r>
      <w:r>
        <w:t xml:space="preserve"> P</w:t>
      </w:r>
      <w:r w:rsidRPr="003813EF">
        <w:t>, Tsouros</w:t>
      </w:r>
      <w:r>
        <w:t xml:space="preserve"> A</w:t>
      </w:r>
      <w:r w:rsidRPr="003813EF">
        <w:t xml:space="preserve">, 2006, </w:t>
      </w:r>
      <w:r w:rsidRPr="003813EF">
        <w:rPr>
          <w:i/>
          <w:iCs/>
        </w:rPr>
        <w:t>Promoting physical activity and active living in urban environments</w:t>
      </w:r>
      <w:r w:rsidRPr="003813EF">
        <w:t xml:space="preserve">, WHO Europe, </w:t>
      </w:r>
      <w:hyperlink r:id="rId6" w:history="1">
        <w:r w:rsidRPr="003813EF">
          <w:rPr>
            <w:rStyle w:val="Lienhypertexte"/>
            <w:sz w:val="20"/>
            <w:szCs w:val="20"/>
          </w:rPr>
          <w:t>http://www.euro.who.int/__data/assets/pdf_file/0009/98424/E89498.pdf</w:t>
        </w:r>
      </w:hyperlink>
    </w:p>
  </w:footnote>
  <w:footnote w:id="7">
    <w:p w14:paraId="25F74280" w14:textId="77777777" w:rsidR="00C33C13" w:rsidRPr="006B5679" w:rsidRDefault="00C33C13" w:rsidP="00C33C13">
      <w:pPr>
        <w:pStyle w:val="Notedebasdepage"/>
      </w:pPr>
      <w:r w:rsidRPr="006B5679">
        <w:rPr>
          <w:rStyle w:val="Appelnotedebasdep"/>
        </w:rPr>
        <w:footnoteRef/>
      </w:r>
      <w:r w:rsidRPr="006B5679">
        <w:t xml:space="preserve"> </w:t>
      </w:r>
      <w:r>
        <w:t xml:space="preserve">DFT UK, 2015, </w:t>
      </w:r>
      <w:r w:rsidRPr="00153AEF">
        <w:rPr>
          <w:i/>
          <w:iCs/>
        </w:rPr>
        <w:t>Climate change and transport choices</w:t>
      </w:r>
      <w:r>
        <w:rPr>
          <w:i/>
          <w:iCs/>
        </w:rPr>
        <w:t xml:space="preserve">, </w:t>
      </w:r>
      <w:hyperlink r:id="rId7" w:history="1">
        <w:r w:rsidRPr="001D6444">
          <w:rPr>
            <w:rStyle w:val="Lienhypertexte"/>
            <w:sz w:val="20"/>
            <w:szCs w:val="20"/>
          </w:rPr>
          <w:t>https://www.gov.uk/government/publications/climate-change-and-transport-choices-segmentation-update</w:t>
        </w:r>
      </w:hyperlink>
      <w:r>
        <w:t xml:space="preserve"> </w:t>
      </w:r>
    </w:p>
  </w:footnote>
  <w:footnote w:id="8">
    <w:p w14:paraId="19BEE964" w14:textId="77777777" w:rsidR="00C33C13" w:rsidRPr="006B5679" w:rsidRDefault="00C33C13" w:rsidP="00C33C13">
      <w:pPr>
        <w:pStyle w:val="Notedebasdepage"/>
      </w:pPr>
      <w:r w:rsidRPr="006B5679">
        <w:rPr>
          <w:rStyle w:val="Appelnotedebasdep"/>
        </w:rPr>
        <w:footnoteRef/>
      </w:r>
      <w:r w:rsidRPr="006B5679">
        <w:t xml:space="preserve"> </w:t>
      </w:r>
      <w:r>
        <w:t xml:space="preserve">NHS, 2014, </w:t>
      </w:r>
      <w:r w:rsidRPr="00153AEF">
        <w:rPr>
          <w:i/>
          <w:iCs/>
        </w:rPr>
        <w:t>Cycling safety special report</w:t>
      </w:r>
      <w:r>
        <w:t xml:space="preserve">, </w:t>
      </w:r>
      <w:hyperlink r:id="rId8" w:history="1">
        <w:r w:rsidRPr="00D41472">
          <w:rPr>
            <w:rStyle w:val="Lienhypertexte"/>
            <w:sz w:val="20"/>
            <w:szCs w:val="20"/>
          </w:rPr>
          <w:t>https://www.nhs.uk/news/lifestyle-and-exercise/news-analysis-cycling-safety-special-report/</w:t>
        </w:r>
      </w:hyperlink>
      <w:r w:rsidRPr="006B5679">
        <w:t xml:space="preserve">  </w:t>
      </w:r>
    </w:p>
    <w:p w14:paraId="4C0C6058" w14:textId="18ACA428" w:rsidR="00C33C13" w:rsidRPr="006B5679" w:rsidRDefault="00C33C13" w:rsidP="00C33C13">
      <w:pPr>
        <w:pStyle w:val="Notedebasdepage"/>
      </w:pPr>
      <w:r w:rsidRPr="006B5679">
        <w:t>Beck LF, Dellinger AM, O’Neil ME</w:t>
      </w:r>
      <w:r>
        <w:t xml:space="preserve">, 2007, </w:t>
      </w:r>
      <w:r w:rsidRPr="006B5679">
        <w:t xml:space="preserve">Motor vehicle crash injury rates by mode of travel, United States: using </w:t>
      </w:r>
      <w:r w:rsidR="006B6BCD" w:rsidRPr="006B5679">
        <w:t>exposure</w:t>
      </w:r>
      <w:r w:rsidR="006B6BCD">
        <w:t>-based</w:t>
      </w:r>
      <w:r w:rsidRPr="006B5679">
        <w:t xml:space="preserve"> methods to quantify differences. </w:t>
      </w:r>
      <w:r w:rsidRPr="00153AEF">
        <w:rPr>
          <w:i/>
          <w:iCs/>
        </w:rPr>
        <w:t>American Journal of Epidemiology</w:t>
      </w:r>
      <w:r w:rsidRPr="006B5679">
        <w:t xml:space="preserve">;166(2):212–218 </w:t>
      </w:r>
    </w:p>
    <w:p w14:paraId="11D8E098" w14:textId="77777777" w:rsidR="00C33C13" w:rsidRPr="006B5679" w:rsidRDefault="00B00273" w:rsidP="00C33C13">
      <w:pPr>
        <w:pStyle w:val="Notedebasdepage"/>
      </w:pPr>
      <w:hyperlink r:id="rId9" w:history="1">
        <w:r w:rsidR="00C33C13" w:rsidRPr="006B5679">
          <w:rPr>
            <w:rStyle w:val="Lienhypertexte"/>
            <w:sz w:val="20"/>
            <w:szCs w:val="20"/>
          </w:rPr>
          <w:t>http://aje.oxfordjournals.org/content/166/2/212.full.pdf+html</w:t>
        </w:r>
      </w:hyperlink>
      <w:r w:rsidR="00C33C13" w:rsidRPr="006B5679">
        <w:t xml:space="preserve">  </w:t>
      </w:r>
    </w:p>
    <w:p w14:paraId="482CEBC7" w14:textId="77777777" w:rsidR="00C33C13" w:rsidRPr="00153AEF" w:rsidRDefault="00C33C13" w:rsidP="00C33C13">
      <w:pPr>
        <w:pStyle w:val="Notedebasdepage"/>
      </w:pPr>
      <w:r w:rsidRPr="006B5679">
        <w:t>I</w:t>
      </w:r>
      <w:r>
        <w:t xml:space="preserve">TF, 2013, </w:t>
      </w:r>
      <w:r w:rsidRPr="00153AEF">
        <w:rPr>
          <w:i/>
          <w:iCs/>
        </w:rPr>
        <w:t>Road Safety Annual Report 2013</w:t>
      </w:r>
      <w:r>
        <w:t xml:space="preserve">, </w:t>
      </w:r>
      <w:hyperlink r:id="rId10" w:history="1">
        <w:r w:rsidRPr="00D41472">
          <w:rPr>
            <w:rStyle w:val="Lienhypertexte"/>
            <w:sz w:val="20"/>
            <w:szCs w:val="20"/>
          </w:rPr>
          <w:t>http://www.internationaltransportforum.org/pub/pdf/13IrtadReport.pdf</w:t>
        </w:r>
      </w:hyperlink>
      <w:r w:rsidRPr="006B5679">
        <w:t xml:space="preserve"> </w:t>
      </w:r>
      <w:r w:rsidRPr="00153AEF">
        <w:t xml:space="preserve"> </w:t>
      </w:r>
    </w:p>
    <w:p w14:paraId="7E5E12D9" w14:textId="77777777" w:rsidR="00C33C13" w:rsidRPr="006B5679" w:rsidRDefault="00C33C13" w:rsidP="00C33C13">
      <w:pPr>
        <w:pStyle w:val="Notedebasdepage"/>
      </w:pPr>
      <w:r w:rsidRPr="00153AEF">
        <w:t>DFT UK,</w:t>
      </w:r>
      <w:r>
        <w:rPr>
          <w:i/>
          <w:iCs/>
        </w:rPr>
        <w:t xml:space="preserve"> </w:t>
      </w:r>
      <w:r w:rsidRPr="00153AEF">
        <w:rPr>
          <w:i/>
          <w:iCs/>
        </w:rPr>
        <w:t>Walking and Cycling Statistics</w:t>
      </w:r>
      <w:r w:rsidRPr="006B5679">
        <w:t xml:space="preserve">, England: 2016; UK Department for Transport </w:t>
      </w:r>
    </w:p>
    <w:p w14:paraId="7A05FBB3" w14:textId="77777777" w:rsidR="00C33C13" w:rsidRPr="006B5679" w:rsidRDefault="00B00273" w:rsidP="00C33C13">
      <w:pPr>
        <w:pStyle w:val="Notedebasdepage"/>
      </w:pPr>
      <w:hyperlink r:id="rId11" w:history="1">
        <w:r w:rsidR="00C33C13" w:rsidRPr="006B5679">
          <w:rPr>
            <w:rStyle w:val="Lienhypertexte"/>
            <w:sz w:val="20"/>
            <w:szCs w:val="20"/>
          </w:rPr>
          <w:t>https://www.gov.uk/government/uploads/system/uploads/attachment_data/file/674503/walking-and-cyclingstatistics-england-2016.pdf</w:t>
        </w:r>
      </w:hyperlink>
    </w:p>
  </w:footnote>
  <w:footnote w:id="9">
    <w:p w14:paraId="0F3B2733" w14:textId="395B133B" w:rsidR="009F4B2D" w:rsidRDefault="009F4B2D">
      <w:pPr>
        <w:pStyle w:val="Notedebasdepage"/>
      </w:pPr>
      <w:r>
        <w:rPr>
          <w:rStyle w:val="Appelnotedebasdep"/>
        </w:rPr>
        <w:footnoteRef/>
      </w:r>
      <w:r>
        <w:t xml:space="preserve"> </w:t>
      </w:r>
      <w:r w:rsidRPr="009F4B2D">
        <w:t xml:space="preserve">ETSC (2020), PIN Flash 38, How Safe is Walking and Cycling in Europe </w:t>
      </w:r>
      <w:hyperlink r:id="rId12" w:history="1">
        <w:r w:rsidR="00C33C13" w:rsidRPr="00A862A3">
          <w:rPr>
            <w:rStyle w:val="Lienhypertexte"/>
            <w:sz w:val="20"/>
            <w:szCs w:val="20"/>
          </w:rPr>
          <w:t>https://etsc.eu/how-safe-is-walking-and-cycling-in-europe-pin-flash-38/</w:t>
        </w:r>
      </w:hyperlink>
      <w:r w:rsidR="00C33C13">
        <w:t xml:space="preserve"> </w:t>
      </w:r>
    </w:p>
  </w:footnote>
  <w:footnote w:id="10">
    <w:p w14:paraId="380B193B" w14:textId="77777777" w:rsidR="002707DF" w:rsidRDefault="002707DF" w:rsidP="002707DF">
      <w:pPr>
        <w:pStyle w:val="Notedebasdepage"/>
      </w:pPr>
      <w:r>
        <w:rPr>
          <w:rStyle w:val="Appelnotedebasdep"/>
        </w:rPr>
        <w:footnoteRef/>
      </w:r>
      <w:r>
        <w:t xml:space="preserve"> </w:t>
      </w:r>
      <w:hyperlink r:id="rId13" w:history="1">
        <w:r w:rsidRPr="00A862A3">
          <w:rPr>
            <w:rStyle w:val="Lienhypertexte"/>
          </w:rPr>
          <w:t>https://eur-lex.europa.eu/eli/reg/2019/2144/oj</w:t>
        </w:r>
      </w:hyperlink>
      <w:r>
        <w:t xml:space="preserve"> </w:t>
      </w:r>
    </w:p>
  </w:footnote>
  <w:footnote w:id="11">
    <w:p w14:paraId="1CD3C5D3" w14:textId="77777777" w:rsidR="002707DF" w:rsidRDefault="002707DF" w:rsidP="002707DF">
      <w:pPr>
        <w:pStyle w:val="Notedebasdepage"/>
      </w:pPr>
      <w:r>
        <w:rPr>
          <w:rStyle w:val="Appelnotedebasdep"/>
        </w:rPr>
        <w:footnoteRef/>
      </w:r>
      <w:r>
        <w:t xml:space="preserve"> </w:t>
      </w:r>
      <w:hyperlink r:id="rId14" w:history="1">
        <w:r w:rsidRPr="00A862A3">
          <w:rPr>
            <w:rStyle w:val="Lienhypertexte"/>
          </w:rPr>
          <w:t>https://ecf.com/news-and-events/news/eu-mandatory-vehicle-regulations-pave-way-great-leap-cycling-safety</w:t>
        </w:r>
      </w:hyperlink>
      <w:r>
        <w:t xml:space="preserve"> </w:t>
      </w:r>
    </w:p>
  </w:footnote>
  <w:footnote w:id="12">
    <w:p w14:paraId="0358FDE2" w14:textId="77777777" w:rsidR="002707DF" w:rsidRDefault="002707DF" w:rsidP="002707DF">
      <w:pPr>
        <w:pStyle w:val="Notedebasdepage"/>
      </w:pPr>
      <w:r>
        <w:rPr>
          <w:rStyle w:val="Appelnotedebasdep"/>
        </w:rPr>
        <w:footnoteRef/>
      </w:r>
      <w:r>
        <w:t xml:space="preserve"> </w:t>
      </w:r>
      <w:hyperlink r:id="rId15" w:history="1">
        <w:r>
          <w:rPr>
            <w:rStyle w:val="Lienhypertexte"/>
            <w:color w:val="1155CC"/>
          </w:rPr>
          <w:t>https://ecf.com/sites/ecf.com/files/ECF_Position_ISA_Implementation_Final.pdf</w:t>
        </w:r>
      </w:hyperlink>
      <w:r>
        <w:t xml:space="preserve"> </w:t>
      </w:r>
    </w:p>
  </w:footnote>
  <w:footnote w:id="13">
    <w:p w14:paraId="08106C7F" w14:textId="77777777" w:rsidR="002707DF" w:rsidRDefault="002707DF" w:rsidP="002707DF">
      <w:pPr>
        <w:pStyle w:val="Notedebasdepage"/>
      </w:pPr>
      <w:r>
        <w:rPr>
          <w:rStyle w:val="Appelnotedebasdep"/>
        </w:rPr>
        <w:footnoteRef/>
      </w:r>
      <w:r>
        <w:t xml:space="preserve"> </w:t>
      </w:r>
      <w:hyperlink r:id="rId16" w:history="1">
        <w:r w:rsidRPr="00A862A3">
          <w:rPr>
            <w:rStyle w:val="Lienhypertexte"/>
          </w:rPr>
          <w:t>https://op.europa.eu/en/publication-detail/-/publication/bfd5eba8-2058-11ea-95ab-01aa75ed71a1/language-en</w:t>
        </w:r>
      </w:hyperlink>
      <w:r>
        <w:t xml:space="preserve"> </w:t>
      </w:r>
    </w:p>
  </w:footnote>
  <w:footnote w:id="14">
    <w:p w14:paraId="22484755" w14:textId="77777777" w:rsidR="00182E0B" w:rsidRPr="00182E0B" w:rsidRDefault="00182E0B" w:rsidP="00182E0B">
      <w:pPr>
        <w:pStyle w:val="Notedebasdepage"/>
        <w:rPr>
          <w:rFonts w:ascii="Futura Lt BT" w:hAnsi="Futura Lt BT"/>
          <w:sz w:val="18"/>
          <w:szCs w:val="18"/>
        </w:rPr>
      </w:pPr>
      <w:r w:rsidRPr="0037091F">
        <w:rPr>
          <w:rStyle w:val="Appelnotedebasdep"/>
          <w:rFonts w:ascii="Futura Lt BT" w:hAnsi="Futura Lt BT"/>
          <w:sz w:val="18"/>
          <w:szCs w:val="18"/>
        </w:rPr>
        <w:footnoteRef/>
      </w:r>
      <w:r w:rsidRPr="00182E0B">
        <w:rPr>
          <w:rFonts w:ascii="Futura Lt BT" w:hAnsi="Futura Lt BT"/>
          <w:sz w:val="18"/>
          <w:szCs w:val="18"/>
        </w:rPr>
        <w:t xml:space="preserve"> </w:t>
      </w:r>
      <w:hyperlink r:id="rId17" w:history="1">
        <w:r w:rsidRPr="00182E0B">
          <w:rPr>
            <w:rStyle w:val="Lienhypertexte"/>
            <w:rFonts w:cs="Arial"/>
            <w:sz w:val="20"/>
            <w:szCs w:val="20"/>
          </w:rPr>
          <w:t>https://www.ziv-zweirad.de/uploads/media/PM_2021_10.03._ZIV-Praesentation_10.03.2021_mit_Text.pdf</w:t>
        </w:r>
      </w:hyperlink>
    </w:p>
  </w:footnote>
  <w:footnote w:id="15">
    <w:p w14:paraId="49E55894" w14:textId="77777777" w:rsidR="00182E0B" w:rsidRPr="0037091F" w:rsidRDefault="00182E0B" w:rsidP="00182E0B">
      <w:pPr>
        <w:pStyle w:val="Notedebasdepage"/>
        <w:rPr>
          <w:rFonts w:ascii="Futura Lt BT" w:hAnsi="Futura Lt BT"/>
          <w:sz w:val="18"/>
          <w:szCs w:val="18"/>
          <w:lang w:val="en-US"/>
        </w:rPr>
      </w:pPr>
      <w:r w:rsidRPr="0037091F">
        <w:rPr>
          <w:rStyle w:val="Appelnotedebasdep"/>
          <w:rFonts w:ascii="Futura Lt BT" w:hAnsi="Futura Lt BT"/>
          <w:sz w:val="18"/>
          <w:szCs w:val="18"/>
        </w:rPr>
        <w:footnoteRef/>
      </w:r>
      <w:r w:rsidRPr="0037091F">
        <w:rPr>
          <w:rFonts w:ascii="Futura Lt BT" w:hAnsi="Futura Lt BT"/>
          <w:sz w:val="18"/>
          <w:szCs w:val="18"/>
        </w:rPr>
        <w:t xml:space="preserve"> </w:t>
      </w:r>
      <w:hyperlink r:id="rId18" w:history="1">
        <w:r w:rsidRPr="00182E0B">
          <w:rPr>
            <w:rStyle w:val="Lienhypertexte"/>
            <w:rFonts w:cs="Arial"/>
            <w:sz w:val="20"/>
            <w:szCs w:val="20"/>
          </w:rPr>
          <w:t>New European Cycling Industry Forecast shows huge growth in bike and e-bike sales | Cycling Industries Europe - The voice of cycling businesses in Europe</w:t>
        </w:r>
      </w:hyperlink>
    </w:p>
  </w:footnote>
  <w:footnote w:id="16">
    <w:p w14:paraId="27F2E317" w14:textId="77777777" w:rsidR="00F239F0" w:rsidRPr="0037091F" w:rsidRDefault="00F239F0" w:rsidP="00F239F0">
      <w:pPr>
        <w:pStyle w:val="Notedebasdepage"/>
        <w:rPr>
          <w:rFonts w:ascii="Futura Lt BT" w:hAnsi="Futura Lt BT"/>
          <w:sz w:val="18"/>
          <w:szCs w:val="18"/>
          <w:lang w:val="en-US"/>
        </w:rPr>
      </w:pPr>
      <w:r w:rsidRPr="0037091F">
        <w:rPr>
          <w:rStyle w:val="Appelnotedebasdep"/>
          <w:rFonts w:ascii="Futura Lt BT" w:hAnsi="Futura Lt BT"/>
          <w:sz w:val="18"/>
          <w:szCs w:val="18"/>
        </w:rPr>
        <w:footnoteRef/>
      </w:r>
      <w:r w:rsidRPr="0037091F">
        <w:rPr>
          <w:rFonts w:ascii="Futura Lt BT" w:hAnsi="Futura Lt BT"/>
          <w:sz w:val="18"/>
          <w:szCs w:val="18"/>
        </w:rPr>
        <w:t xml:space="preserve"> </w:t>
      </w:r>
      <w:hyperlink r:id="rId19" w:history="1">
        <w:r w:rsidRPr="00F239F0">
          <w:rPr>
            <w:rStyle w:val="Lienhypertexte"/>
            <w:rFonts w:cs="Arial"/>
            <w:sz w:val="20"/>
            <w:szCs w:val="20"/>
          </w:rPr>
          <w:t>E-bike and bicycle market value hiked by one third in the Netherlands - Bike Europe (bike-eu.com)</w:t>
        </w:r>
      </w:hyperlink>
      <w:r w:rsidRPr="00F239F0">
        <w:rPr>
          <w:rFonts w:cs="Arial"/>
          <w:lang w:val="en-US"/>
        </w:rPr>
        <w:t xml:space="preserve">; </w:t>
      </w:r>
      <w:hyperlink r:id="rId20" w:history="1">
        <w:r w:rsidRPr="00F239F0">
          <w:rPr>
            <w:rStyle w:val="Lienhypertexte"/>
            <w:rFonts w:cs="Arial"/>
            <w:sz w:val="20"/>
            <w:szCs w:val="20"/>
          </w:rPr>
          <w:t>Belgian Market: Over 50 Percent of All Bikes Sold Are Electric Ones - Bike Europe (bike-eu.com)</w:t>
        </w:r>
      </w:hyperlink>
    </w:p>
  </w:footnote>
  <w:footnote w:id="17">
    <w:p w14:paraId="2BFEA680" w14:textId="77777777" w:rsidR="00F239F0" w:rsidRPr="0037091F" w:rsidRDefault="00F239F0" w:rsidP="00F239F0">
      <w:pPr>
        <w:pStyle w:val="Notedebasdepage"/>
        <w:rPr>
          <w:rFonts w:ascii="Futura Lt BT" w:hAnsi="Futura Lt BT"/>
          <w:sz w:val="18"/>
          <w:szCs w:val="18"/>
        </w:rPr>
      </w:pPr>
      <w:r w:rsidRPr="0037091F">
        <w:rPr>
          <w:rStyle w:val="Appelnotedebasdep"/>
          <w:rFonts w:ascii="Futura Lt BT" w:hAnsi="Futura Lt BT"/>
          <w:sz w:val="18"/>
          <w:szCs w:val="18"/>
        </w:rPr>
        <w:footnoteRef/>
      </w:r>
      <w:r w:rsidRPr="00F239F0">
        <w:rPr>
          <w:rFonts w:cs="Arial"/>
        </w:rPr>
        <w:t xml:space="preserve"> </w:t>
      </w:r>
      <w:hyperlink r:id="rId21" w:history="1">
        <w:r w:rsidRPr="00F239F0">
          <w:rPr>
            <w:rStyle w:val="Lienhypertexte"/>
            <w:rFonts w:cs="Arial"/>
            <w:sz w:val="20"/>
            <w:szCs w:val="20"/>
          </w:rPr>
          <w:t>https://www.ziv-zweirad.de/uploads/media/PM_2021_10.03._ZIV-Praesentation_10.03.2021_mit_Text.pdf</w:t>
        </w:r>
      </w:hyperlink>
    </w:p>
  </w:footnote>
  <w:footnote w:id="18">
    <w:p w14:paraId="3528E3C8" w14:textId="77777777" w:rsidR="003C14E8" w:rsidRDefault="003C14E8" w:rsidP="003C14E8">
      <w:pPr>
        <w:pStyle w:val="Notedebasdepage"/>
      </w:pPr>
      <w:r>
        <w:rPr>
          <w:rStyle w:val="Appelnotedebasdep"/>
        </w:rPr>
        <w:footnoteRef/>
      </w:r>
      <w:r>
        <w:t xml:space="preserve"> </w:t>
      </w:r>
      <w:r w:rsidRPr="00102427">
        <w:t xml:space="preserve">Marilyn Johnson, Geoff Rose, Extending life on the bike: Electric bike use by older Australians, Journal of Transport &amp; Health, Volume 2, Issue 2, 2015, Pages 276-283, ISSN 2214-1405, </w:t>
      </w:r>
    </w:p>
    <w:p w14:paraId="7CB73CFB" w14:textId="77777777" w:rsidR="003C14E8" w:rsidRDefault="003C14E8" w:rsidP="003C14E8">
      <w:pPr>
        <w:pStyle w:val="Notedebasdepage"/>
      </w:pPr>
      <w:r w:rsidRPr="00B15FC6">
        <w:t>Tim Jones, Lucas Harms, Eva Heinen, Motives, perceptions and experiences of electric bicycle owners and implications for health, wellbeing and mobility, Journal of Transport Geography, Volume 53, 2016, Pages 41-49, ISSN 0966-6923</w:t>
      </w:r>
    </w:p>
  </w:footnote>
  <w:footnote w:id="19">
    <w:p w14:paraId="1CAB5469" w14:textId="77777777" w:rsidR="003C14E8" w:rsidRDefault="003C14E8" w:rsidP="003C14E8">
      <w:pPr>
        <w:pStyle w:val="Notedebasdepage"/>
      </w:pPr>
      <w:r>
        <w:rPr>
          <w:rStyle w:val="Appelnotedebasdep"/>
        </w:rPr>
        <w:footnoteRef/>
      </w:r>
      <w:r>
        <w:t xml:space="preserve"> Half of trips in Oslo are under 50 km </w:t>
      </w:r>
      <w:r w:rsidRPr="002E408D">
        <w:t>Vågane, L., 2006. Bilhold og bilbruk i Norge. Rapport 856. Tra</w:t>
      </w:r>
      <w:r>
        <w:t>nsportøkonomisk institutt, Oslo</w:t>
      </w:r>
    </w:p>
    <w:p w14:paraId="73D1F0EC" w14:textId="77777777" w:rsidR="003C14E8" w:rsidRDefault="003C14E8" w:rsidP="003C14E8">
      <w:pPr>
        <w:pStyle w:val="Notedebasdepage"/>
        <w:rPr>
          <w:rStyle w:val="Lienhypertexte"/>
          <w:sz w:val="20"/>
          <w:szCs w:val="20"/>
        </w:rPr>
      </w:pPr>
      <w:r>
        <w:t>In the UK around 56%</w:t>
      </w:r>
      <w:r w:rsidRPr="007B5680">
        <w:t xml:space="preserve"> of all car journeys are under 8 kilometres</w:t>
      </w:r>
      <w:r>
        <w:t xml:space="preserve"> </w:t>
      </w:r>
      <w:hyperlink r:id="rId22" w:history="1">
        <w:r w:rsidRPr="0028146F">
          <w:rPr>
            <w:rStyle w:val="Lienhypertexte"/>
            <w:sz w:val="20"/>
            <w:szCs w:val="20"/>
          </w:rPr>
          <w:t>https://www.gov.uk/government/statistics/transport-statistics-great-britain-2016</w:t>
        </w:r>
      </w:hyperlink>
    </w:p>
    <w:p w14:paraId="58147117" w14:textId="77777777" w:rsidR="003C14E8" w:rsidRPr="002E408D" w:rsidRDefault="003C14E8" w:rsidP="003C14E8">
      <w:pPr>
        <w:pStyle w:val="Notedebasdepage"/>
        <w:rPr>
          <w:u w:val="single"/>
        </w:rPr>
      </w:pPr>
      <w:r>
        <w:t xml:space="preserve">In Ireland around 75% are under 8 km </w:t>
      </w:r>
      <w:hyperlink r:id="rId23" w:history="1">
        <w:r w:rsidRPr="0028146F">
          <w:rPr>
            <w:rStyle w:val="Lienhypertexte"/>
            <w:sz w:val="20"/>
            <w:szCs w:val="20"/>
          </w:rPr>
          <w:t>http://www.cso.ie/en/releasesandpublications/ep/p-nts/nts2016/hwt/</w:t>
        </w:r>
      </w:hyperlink>
      <w:r>
        <w:rPr>
          <w:rStyle w:val="Lienhypertexte"/>
          <w:sz w:val="20"/>
          <w:szCs w:val="20"/>
        </w:rPr>
        <w:t xml:space="preserve"> </w:t>
      </w:r>
      <w:r>
        <w:t xml:space="preserve">Nantes 50% are under 5 km </w:t>
      </w:r>
      <w:hyperlink r:id="rId24" w:history="1">
        <w:r w:rsidRPr="00C271AC">
          <w:rPr>
            <w:rStyle w:val="Lienhypertexte"/>
            <w:sz w:val="20"/>
            <w:szCs w:val="20"/>
          </w:rPr>
          <w:t>http://www.ec.europa.eu/environment/europeangreencapital/wp-content/uploads/2011/05/EGCNantesUKChap2-F.pdf</w:t>
        </w:r>
      </w:hyperlink>
    </w:p>
  </w:footnote>
  <w:footnote w:id="20">
    <w:p w14:paraId="75F58992" w14:textId="77777777" w:rsidR="001338D6" w:rsidRDefault="001338D6" w:rsidP="001338D6">
      <w:pPr>
        <w:pStyle w:val="Notedebasdepage"/>
      </w:pPr>
      <w:r>
        <w:rPr>
          <w:rStyle w:val="Appelnotedebasdep"/>
        </w:rPr>
        <w:footnoteRef/>
      </w:r>
      <w:r>
        <w:t xml:space="preserve"> </w:t>
      </w:r>
      <w:hyperlink r:id="rId25" w:history="1">
        <w:r w:rsidRPr="00A11840">
          <w:rPr>
            <w:rStyle w:val="Lienhypertexte"/>
            <w:sz w:val="20"/>
            <w:szCs w:val="20"/>
          </w:rPr>
          <w:t>http://www.conebi.eu/facts-and-figures/</w:t>
        </w:r>
      </w:hyperlink>
      <w:r>
        <w:t xml:space="preserve"> </w:t>
      </w:r>
    </w:p>
  </w:footnote>
  <w:footnote w:id="21">
    <w:p w14:paraId="4A7AC9D7" w14:textId="77777777" w:rsidR="00F1767B" w:rsidRPr="00D539EC" w:rsidRDefault="00F1767B" w:rsidP="00F1767B">
      <w:pPr>
        <w:pStyle w:val="Notedebasdepage"/>
        <w:rPr>
          <w:lang w:val="de-CH"/>
        </w:rPr>
      </w:pPr>
      <w:r>
        <w:rPr>
          <w:rStyle w:val="Appelnotedebasdep"/>
        </w:rPr>
        <w:footnoteRef/>
      </w:r>
      <w:hyperlink r:id="rId26" w:history="1">
        <w:r w:rsidRPr="00D539EC">
          <w:rPr>
            <w:rStyle w:val="Lienhypertexte"/>
            <w:sz w:val="20"/>
            <w:szCs w:val="20"/>
            <w:lang w:val="de-CH"/>
          </w:rPr>
          <w:t>https://standards.cen.eu/dyn/www/f?p=204:32:0::::FSP_ORG_ID,FSP_LANG_ID:6314,25&amp;cs=15471628D918031F2386C2FFB70BED679</w:t>
        </w:r>
      </w:hyperlink>
      <w:r w:rsidRPr="00D539EC">
        <w:rPr>
          <w:lang w:val="de-CH"/>
        </w:rPr>
        <w:t xml:space="preserve"> </w:t>
      </w:r>
    </w:p>
    <w:p w14:paraId="639E07A8" w14:textId="77777777" w:rsidR="00F1767B" w:rsidRDefault="00F1767B" w:rsidP="00F1767B">
      <w:pPr>
        <w:pStyle w:val="Notedebasdepage"/>
      </w:pPr>
      <w:r>
        <w:t>We do not include so-called ‘speed EPACs’ in this document</w:t>
      </w:r>
    </w:p>
  </w:footnote>
  <w:footnote w:id="22">
    <w:p w14:paraId="040E344E" w14:textId="77777777" w:rsidR="00CB39CF" w:rsidRDefault="00CB39CF" w:rsidP="00CB39CF">
      <w:pPr>
        <w:pStyle w:val="Notedebasdepage"/>
      </w:pPr>
      <w:r>
        <w:rPr>
          <w:rStyle w:val="Appelnotedebasdep"/>
        </w:rPr>
        <w:footnoteRef/>
      </w:r>
      <w:r>
        <w:t xml:space="preserve"> One  </w:t>
      </w:r>
    </w:p>
  </w:footnote>
  <w:footnote w:id="23">
    <w:p w14:paraId="08B5381F" w14:textId="77777777" w:rsidR="00B13EE3" w:rsidRPr="0095300A" w:rsidRDefault="00B13EE3" w:rsidP="00B13EE3">
      <w:pPr>
        <w:pStyle w:val="Notedebasdepage"/>
        <w:rPr>
          <w:lang w:val="fr-BE"/>
        </w:rPr>
      </w:pPr>
      <w:r>
        <w:rPr>
          <w:rStyle w:val="Appelnotedebasdep"/>
        </w:rPr>
        <w:footnoteRef/>
      </w:r>
      <w:r>
        <w:t xml:space="preserve"> Schepers, Wolt and Fishman (2018) The Safety of E-Bikes in The Netherlands. </w:t>
      </w:r>
      <w:r w:rsidRPr="00AD7A28">
        <w:rPr>
          <w:lang w:val="fr-BE"/>
        </w:rPr>
        <w:t xml:space="preserve">International Transport Forum. </w:t>
      </w:r>
      <w:r w:rsidRPr="0095300A">
        <w:rPr>
          <w:lang w:val="fr-BE"/>
        </w:rPr>
        <w:t xml:space="preserve">Paris. </w:t>
      </w:r>
      <w:hyperlink r:id="rId27" w:history="1">
        <w:r w:rsidRPr="00CC3795">
          <w:rPr>
            <w:rStyle w:val="Lienhypertexte"/>
            <w:sz w:val="20"/>
            <w:szCs w:val="20"/>
            <w:lang w:val="fr-BE"/>
          </w:rPr>
          <w:t>https://www.itf-oecd.org/sites/default/files/docs/safety-bike-share-systems_1.pdf</w:t>
        </w:r>
      </w:hyperlink>
      <w:r>
        <w:rPr>
          <w:lang w:val="fr-BE"/>
        </w:rPr>
        <w:t xml:space="preserve"> </w:t>
      </w:r>
    </w:p>
  </w:footnote>
  <w:footnote w:id="24">
    <w:p w14:paraId="580452D9" w14:textId="77777777" w:rsidR="00422169" w:rsidRDefault="00422169" w:rsidP="00422169">
      <w:pPr>
        <w:pStyle w:val="Notedebasdepage"/>
      </w:pPr>
      <w:r>
        <w:rPr>
          <w:rStyle w:val="Appelnotedebasdep"/>
        </w:rPr>
        <w:footnoteRef/>
      </w:r>
      <w:r>
        <w:t xml:space="preserve"> Data from DESTATIS. All data available from ECF on request </w:t>
      </w:r>
    </w:p>
  </w:footnote>
  <w:footnote w:id="25">
    <w:p w14:paraId="77F9ED81" w14:textId="77777777" w:rsidR="007A10E6" w:rsidRDefault="007A10E6" w:rsidP="007A10E6">
      <w:pPr>
        <w:pStyle w:val="Notedebasdepage"/>
      </w:pPr>
      <w:r>
        <w:rPr>
          <w:rStyle w:val="Appelnotedebasdep"/>
        </w:rPr>
        <w:footnoteRef/>
      </w:r>
      <w:hyperlink r:id="rId28" w:history="1">
        <w:r w:rsidRPr="00D06AC0">
          <w:rPr>
            <w:rStyle w:val="Lienhypertexte"/>
            <w:sz w:val="20"/>
            <w:szCs w:val="20"/>
          </w:rPr>
          <w:t>https://www.destatis.de/DE/ZahlenFakten/GesellschaftStaat/EinkommenKonsumLebensbedingungen/AusstattungGebrauchsguetern/Tabellen/Fahrzeuge_D.html</w:t>
        </w:r>
      </w:hyperlink>
      <w:r>
        <w:t xml:space="preserve"> </w:t>
      </w:r>
    </w:p>
  </w:footnote>
  <w:footnote w:id="26">
    <w:p w14:paraId="3ECA2894" w14:textId="63F81E94" w:rsidR="00820605" w:rsidRDefault="00820605">
      <w:pPr>
        <w:pStyle w:val="Notedebasdepage"/>
      </w:pPr>
      <w:r>
        <w:rPr>
          <w:rStyle w:val="Appelnotedebasdep"/>
        </w:rPr>
        <w:footnoteRef/>
      </w:r>
      <w:r>
        <w:t xml:space="preserve"> </w:t>
      </w:r>
      <w:hyperlink r:id="rId29" w:history="1">
        <w:r w:rsidRPr="00A862A3">
          <w:rPr>
            <w:rStyle w:val="Lienhypertexte"/>
            <w:sz w:val="20"/>
            <w:szCs w:val="20"/>
          </w:rPr>
          <w:t>https://ecf.com/news-and-events/news/cycling-fast-track-eu-covid-recovery-package-eu-green-deal</w:t>
        </w:r>
      </w:hyperlink>
      <w:r>
        <w:t xml:space="preserve"> </w:t>
      </w:r>
    </w:p>
  </w:footnote>
  <w:footnote w:id="27">
    <w:p w14:paraId="008C6B57" w14:textId="77777777" w:rsidR="00F7642D" w:rsidRPr="00422169" w:rsidRDefault="00F7642D" w:rsidP="00F7642D">
      <w:pPr>
        <w:pStyle w:val="Notedebasdepage"/>
        <w:rPr>
          <w:sz w:val="16"/>
          <w:szCs w:val="16"/>
        </w:rPr>
      </w:pPr>
      <w:r w:rsidRPr="00C0158B">
        <w:rPr>
          <w:rStyle w:val="Appelnotedebasdep"/>
          <w:sz w:val="16"/>
          <w:szCs w:val="16"/>
        </w:rPr>
        <w:footnoteRef/>
      </w:r>
      <w:hyperlink r:id="rId30" w:history="1">
        <w:r w:rsidRPr="00422169">
          <w:rPr>
            <w:rStyle w:val="Lienhypertexte"/>
            <w:sz w:val="16"/>
            <w:szCs w:val="16"/>
          </w:rPr>
          <w:t>https://www.google.com/url?sa=t&amp;rct=j&amp;q=&amp;esrc=s&amp;source=web&amp;cd=&amp;ved=2ahUKEwjx95i7ocrqAhUNqaQKHVOdBrUQFjAKegQIAhAB&amp;url=https%3A%2F%2Fec.europa.eu%2Ftransport%2Froad_safety%2Fsites%2Froadsafety%2Ffiles%2Fpdf%2Fersosynthesis2018-speedspeedmanagement.pdf&amp;usg=AOvVaw0tfYe3BWQFAufMn_vtNU7-</w:t>
        </w:r>
      </w:hyperlink>
      <w:r w:rsidRPr="00422169">
        <w:rPr>
          <w:sz w:val="16"/>
          <w:szCs w:val="16"/>
        </w:rPr>
        <w:t xml:space="preserve"> </w:t>
      </w:r>
    </w:p>
  </w:footnote>
  <w:footnote w:id="28">
    <w:p w14:paraId="25FE9F88" w14:textId="77777777" w:rsidR="00F7642D" w:rsidRPr="00C0158B" w:rsidRDefault="00F7642D" w:rsidP="00F7642D">
      <w:pPr>
        <w:pStyle w:val="Notedebasdepage"/>
        <w:rPr>
          <w:sz w:val="16"/>
          <w:szCs w:val="16"/>
        </w:rPr>
      </w:pPr>
      <w:r w:rsidRPr="00C0158B">
        <w:rPr>
          <w:rStyle w:val="Appelnotedebasdep"/>
          <w:sz w:val="16"/>
          <w:szCs w:val="16"/>
        </w:rPr>
        <w:footnoteRef/>
      </w:r>
      <w:r w:rsidRPr="00C0158B">
        <w:rPr>
          <w:sz w:val="16"/>
          <w:szCs w:val="16"/>
        </w:rPr>
        <w:t xml:space="preserve"> Henk Stipdonk “The mathematical relation between crash risk and speed; a summary of findings based on scientific literature” quoted in ETSC PIN Report </w:t>
      </w:r>
      <w:hyperlink r:id="rId31" w:history="1">
        <w:r w:rsidRPr="00C0158B">
          <w:rPr>
            <w:rStyle w:val="Lienhypertexte"/>
            <w:sz w:val="16"/>
            <w:szCs w:val="16"/>
          </w:rPr>
          <w:t>https://etsc.eu/reducing-speeding-in-europe-pin-flash-36/</w:t>
        </w:r>
      </w:hyperlink>
      <w:r w:rsidRPr="00C0158B">
        <w:rPr>
          <w:sz w:val="16"/>
          <w:szCs w:val="16"/>
        </w:rPr>
        <w:t xml:space="preserve"> </w:t>
      </w:r>
    </w:p>
  </w:footnote>
  <w:footnote w:id="29">
    <w:p w14:paraId="2984A4FC" w14:textId="1047B7B1" w:rsidR="0093572E" w:rsidRDefault="0093572E">
      <w:pPr>
        <w:pStyle w:val="Notedebasdepage"/>
      </w:pPr>
      <w:r>
        <w:rPr>
          <w:rStyle w:val="Appelnotedebasdep"/>
        </w:rPr>
        <w:footnoteRef/>
      </w:r>
      <w:r>
        <w:t xml:space="preserve"> </w:t>
      </w:r>
      <w:hyperlink r:id="rId32" w:history="1">
        <w:r w:rsidRPr="00A862A3">
          <w:rPr>
            <w:rStyle w:val="Lienhypertexte"/>
            <w:sz w:val="20"/>
            <w:szCs w:val="20"/>
          </w:rPr>
          <w:t>https://ecf.com/groups/ecf-helmet-factsheet</w:t>
        </w:r>
      </w:hyperlink>
      <w:r>
        <w:t xml:space="preserve"> </w:t>
      </w:r>
    </w:p>
  </w:footnote>
  <w:footnote w:id="30">
    <w:p w14:paraId="6321378F" w14:textId="53CE0E6B" w:rsidR="0072524C" w:rsidRDefault="0072524C">
      <w:pPr>
        <w:pStyle w:val="Notedebasdepage"/>
      </w:pPr>
      <w:r>
        <w:rPr>
          <w:rStyle w:val="Appelnotedebasdep"/>
        </w:rPr>
        <w:footnoteRef/>
      </w:r>
      <w:r>
        <w:t xml:space="preserve"> </w:t>
      </w:r>
      <w:r w:rsidRPr="0072524C">
        <w:t xml:space="preserve">EC (2018), EU Strategic Action Pan for Road Safety, </w:t>
      </w:r>
      <w:hyperlink r:id="rId33" w:history="1">
        <w:r w:rsidR="00757173" w:rsidRPr="00A862A3">
          <w:rPr>
            <w:rStyle w:val="Lienhypertexte"/>
            <w:sz w:val="20"/>
            <w:szCs w:val="20"/>
          </w:rPr>
          <w:t>https://eur-lex.europa.eu/resource.html?uri=cellar%3A0e8b694e-59b5-11e8-ab41-01aa75ed71a1.0003.02/DOC_2&amp;format=PDF</w:t>
        </w:r>
      </w:hyperlink>
      <w:r w:rsidR="00757173">
        <w:t xml:space="preserve"> </w:t>
      </w:r>
    </w:p>
  </w:footnote>
  <w:footnote w:id="31">
    <w:p w14:paraId="02EAF00E" w14:textId="40A0F8A1" w:rsidR="00A87C3A" w:rsidRDefault="00A87C3A">
      <w:pPr>
        <w:pStyle w:val="Notedebasdepage"/>
      </w:pPr>
      <w:r>
        <w:rPr>
          <w:rStyle w:val="Appelnotedebasdep"/>
        </w:rPr>
        <w:footnoteRef/>
      </w:r>
      <w:r>
        <w:t xml:space="preserve"> </w:t>
      </w:r>
      <w:r w:rsidRPr="00A87C3A">
        <w:t>ETSC (2014), PIN Flash Report 27, Ranking EU Progress on Car Occupant Safety</w:t>
      </w:r>
      <w:r w:rsidR="00D964F7">
        <w:t xml:space="preserve"> </w:t>
      </w:r>
      <w:hyperlink r:id="rId34" w:history="1">
        <w:r w:rsidR="00D964F7" w:rsidRPr="00A862A3">
          <w:rPr>
            <w:rStyle w:val="Lienhypertexte"/>
            <w:sz w:val="20"/>
            <w:szCs w:val="20"/>
          </w:rPr>
          <w:t>https://etsc.eu/ranking-eu-progress-on-car-occupant-safety-pin-flash-27/</w:t>
        </w:r>
      </w:hyperlink>
      <w:r w:rsidR="00D964F7">
        <w:t xml:space="preserve"> </w:t>
      </w:r>
    </w:p>
  </w:footnote>
  <w:footnote w:id="32">
    <w:p w14:paraId="025773B7" w14:textId="6E397DDE" w:rsidR="00394AE8" w:rsidRDefault="00394AE8">
      <w:pPr>
        <w:pStyle w:val="Notedebasdepage"/>
      </w:pPr>
      <w:r>
        <w:rPr>
          <w:rStyle w:val="Appelnotedebasdep"/>
        </w:rPr>
        <w:footnoteRef/>
      </w:r>
      <w:r>
        <w:t xml:space="preserve"> </w:t>
      </w:r>
      <w:hyperlink r:id="rId35" w:history="1">
        <w:r w:rsidRPr="00A862A3">
          <w:rPr>
            <w:rStyle w:val="Lienhypertexte"/>
            <w:sz w:val="20"/>
            <w:szCs w:val="20"/>
          </w:rPr>
          <w:t>https://www.narcis.nl/publication/RecordID/oai:library.swov.nl:331535</w:t>
        </w:r>
      </w:hyperlink>
      <w:r>
        <w:t xml:space="preserve"> </w:t>
      </w:r>
    </w:p>
  </w:footnote>
  <w:footnote w:id="33">
    <w:p w14:paraId="5A31C173" w14:textId="77777777" w:rsidR="00DA162D" w:rsidRPr="00C8347C" w:rsidRDefault="00DA162D" w:rsidP="00DA162D">
      <w:pPr>
        <w:pStyle w:val="Notedebasdepage"/>
      </w:pPr>
      <w:r>
        <w:rPr>
          <w:rStyle w:val="Appelnotedebasdep"/>
        </w:rPr>
        <w:footnoteRef/>
      </w:r>
      <w:r w:rsidRPr="00C8347C">
        <w:t xml:space="preserve"> Jensen</w:t>
      </w:r>
      <w:r>
        <w:rPr>
          <w:lang w:val="en-US"/>
        </w:rPr>
        <w:t>, S.,</w:t>
      </w:r>
      <w:r w:rsidRPr="00C8347C">
        <w:t xml:space="preserve"> </w:t>
      </w:r>
      <w:r w:rsidRPr="00C8347C">
        <w:rPr>
          <w:lang w:val="en-US"/>
        </w:rPr>
        <w:t>Rosenkilde</w:t>
      </w:r>
      <w:r>
        <w:rPr>
          <w:lang w:val="en-US"/>
        </w:rPr>
        <w:t xml:space="preserve">, C., Jensen, N., 2006, </w:t>
      </w:r>
      <w:r w:rsidRPr="00C8347C">
        <w:rPr>
          <w:lang w:val="en-US"/>
        </w:rPr>
        <w:t>Road safety and perceived risk of cycle facilities in Copenhagen</w:t>
      </w:r>
      <w:r>
        <w:rPr>
          <w:lang w:val="en-US"/>
        </w:rPr>
        <w:t xml:space="preserve">, </w:t>
      </w:r>
      <w:hyperlink r:id="rId36" w:history="1">
        <w:r w:rsidRPr="00D41472">
          <w:rPr>
            <w:rStyle w:val="Lienhypertexte"/>
            <w:sz w:val="20"/>
            <w:szCs w:val="20"/>
          </w:rPr>
          <w:t>https://nacto.org/wp-content/uploads/2010/08/Cycle_Tracks_Copenhagen.pdf</w:t>
        </w:r>
      </w:hyperlink>
      <w:r w:rsidRPr="00C8347C">
        <w:t xml:space="preserve"> </w:t>
      </w:r>
    </w:p>
  </w:footnote>
  <w:footnote w:id="34">
    <w:p w14:paraId="5F206A76" w14:textId="77777777" w:rsidR="006F50A0" w:rsidRDefault="006F50A0" w:rsidP="006F50A0">
      <w:pPr>
        <w:pStyle w:val="Notedebasdepage"/>
      </w:pPr>
      <w:r w:rsidRPr="0078262C">
        <w:rPr>
          <w:rStyle w:val="Appelnotedebasdep"/>
        </w:rPr>
        <w:footnoteRef/>
      </w:r>
      <w:r w:rsidRPr="0078262C">
        <w:rPr>
          <w:rStyle w:val="Appelnotedebasdep"/>
        </w:rPr>
        <w:t xml:space="preserve"> </w:t>
      </w:r>
      <w:r w:rsidRPr="0078262C">
        <w:rPr>
          <w:iCs/>
          <w:color w:val="auto"/>
          <w:sz w:val="18"/>
          <w:szCs w:val="18"/>
        </w:rPr>
        <w:t>ECF, (2019), Cycling facts and figures,</w:t>
      </w:r>
      <w:r>
        <w:t xml:space="preserve"> </w:t>
      </w:r>
      <w:hyperlink r:id="rId37" w:history="1">
        <w:r w:rsidRPr="00D41472">
          <w:rPr>
            <w:rStyle w:val="Lienhypertexte"/>
          </w:rPr>
          <w:t>https://ecf.com/resources/cycling-facts-and-figures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EndnotesChar"/>
      </w:rPr>
      <w:alias w:val="Title"/>
      <w:tag w:val=""/>
      <w:id w:val="1361474904"/>
      <w:dataBinding w:prefixMappings="xmlns:ns0='http://purl.org/dc/elements/1.1/' xmlns:ns1='http://schemas.openxmlformats.org/package/2006/metadata/core-properties' " w:xpath="/ns1:coreProperties[1]/ns0:title[1]" w:storeItemID="{6C3C8BC8-F283-45AE-878A-BAB7291924A1}"/>
      <w:text/>
    </w:sdtPr>
    <w:sdtEndPr>
      <w:rPr>
        <w:rStyle w:val="EndnotesChar"/>
      </w:rPr>
    </w:sdtEndPr>
    <w:sdtContent>
      <w:p w14:paraId="66775C90" w14:textId="6DF46D26" w:rsidR="00F36BF2" w:rsidRDefault="007132DD">
        <w:pPr>
          <w:pStyle w:val="En-tte"/>
          <w:rPr>
            <w:rStyle w:val="EndnotesChar"/>
          </w:rPr>
        </w:pPr>
        <w:r>
          <w:rPr>
            <w:rStyle w:val="EndnotesChar"/>
          </w:rPr>
          <w:t>ECF Road Safety Recommendations for European Parliament Own Initiative Report</w:t>
        </w:r>
      </w:p>
    </w:sdtContent>
  </w:sdt>
  <w:p w14:paraId="0C26F31B" w14:textId="77777777" w:rsidR="003F554F" w:rsidRPr="00F36BF2" w:rsidRDefault="003F554F" w:rsidP="003F554F">
    <w:pPr>
      <w:pStyle w:val="En-tte"/>
      <w:jc w:val="right"/>
      <w:rPr>
        <w:rStyle w:val="EndnotesChar"/>
      </w:rPr>
    </w:pPr>
    <w:r>
      <w:rPr>
        <w:rFonts w:ascii="Futura Lt BT" w:hAnsi="Futura Lt BT"/>
        <w:noProof/>
        <w:color w:val="808080" w:themeColor="background1" w:themeShade="80"/>
        <w:spacing w:val="2"/>
        <w:position w:val="1"/>
        <w:sz w:val="16"/>
        <w:szCs w:val="20"/>
        <w:lang w:val="en-US"/>
      </w:rPr>
      <w:drawing>
        <wp:anchor distT="0" distB="0" distL="114300" distR="114300" simplePos="0" relativeHeight="251656704" behindDoc="0" locked="0" layoutInCell="1" allowOverlap="1" wp14:anchorId="73EE42DE" wp14:editId="16882BC0">
          <wp:simplePos x="0" y="0"/>
          <wp:positionH relativeFrom="column">
            <wp:posOffset>4685665</wp:posOffset>
          </wp:positionH>
          <wp:positionV relativeFrom="paragraph">
            <wp:posOffset>-205740</wp:posOffset>
          </wp:positionV>
          <wp:extent cx="1571625" cy="604520"/>
          <wp:effectExtent l="0" t="0" r="952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F logo - landscape -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6045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A3F6A" w14:textId="77777777" w:rsidR="003F554F" w:rsidRDefault="003F554F" w:rsidP="003F554F">
    <w:pPr>
      <w:pStyle w:val="En-tte"/>
      <w:jc w:val="right"/>
    </w:pPr>
    <w:r>
      <w:rPr>
        <w:noProof/>
        <w:lang w:val="en-US"/>
      </w:rPr>
      <w:drawing>
        <wp:inline distT="0" distB="0" distL="0" distR="0" wp14:anchorId="4AF69551" wp14:editId="70CB186B">
          <wp:extent cx="2795845" cy="107632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F logo - landscape -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8068" cy="1084880"/>
                  </a:xfrm>
                  <a:prstGeom prst="rect">
                    <a:avLst/>
                  </a:prstGeom>
                </pic:spPr>
              </pic:pic>
            </a:graphicData>
          </a:graphic>
        </wp:inline>
      </w:drawing>
    </w:r>
  </w:p>
  <w:p w14:paraId="000F96F6" w14:textId="77777777" w:rsidR="003F554F" w:rsidRDefault="003F5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062F696"/>
    <w:lvl w:ilvl="0">
      <w:start w:val="1"/>
      <w:numFmt w:val="decimal"/>
      <w:pStyle w:val="Listenumros2"/>
      <w:lvlText w:val="%1."/>
      <w:lvlJc w:val="left"/>
      <w:pPr>
        <w:tabs>
          <w:tab w:val="num" w:pos="643"/>
        </w:tabs>
        <w:ind w:left="643" w:hanging="360"/>
      </w:pPr>
    </w:lvl>
  </w:abstractNum>
  <w:abstractNum w:abstractNumId="1" w15:restartNumberingAfterBreak="0">
    <w:nsid w:val="FFFFFF88"/>
    <w:multiLevelType w:val="singleLevel"/>
    <w:tmpl w:val="33048688"/>
    <w:lvl w:ilvl="0">
      <w:start w:val="1"/>
      <w:numFmt w:val="decimal"/>
      <w:pStyle w:val="Listenumros"/>
      <w:lvlText w:val="%1."/>
      <w:lvlJc w:val="left"/>
      <w:pPr>
        <w:tabs>
          <w:tab w:val="num" w:pos="360"/>
        </w:tabs>
        <w:ind w:left="360" w:hanging="360"/>
      </w:pPr>
    </w:lvl>
  </w:abstractNum>
  <w:abstractNum w:abstractNumId="2" w15:restartNumberingAfterBreak="0">
    <w:nsid w:val="00667AA5"/>
    <w:multiLevelType w:val="hybridMultilevel"/>
    <w:tmpl w:val="26B8BE80"/>
    <w:lvl w:ilvl="0" w:tplc="08090013">
      <w:start w:val="1"/>
      <w:numFmt w:val="upperRoman"/>
      <w:lvlText w:val="%1."/>
      <w:lvlJc w:val="right"/>
      <w:pPr>
        <w:ind w:left="1080" w:hanging="360"/>
      </w:pPr>
      <w:rPr>
        <w:rFonts w:hint="default"/>
      </w:rPr>
    </w:lvl>
    <w:lvl w:ilvl="1" w:tplc="2000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CC7789"/>
    <w:multiLevelType w:val="hybridMultilevel"/>
    <w:tmpl w:val="0FC8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4C2140"/>
    <w:multiLevelType w:val="hybridMultilevel"/>
    <w:tmpl w:val="96FE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A163A"/>
    <w:multiLevelType w:val="hybridMultilevel"/>
    <w:tmpl w:val="ABFA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177B3"/>
    <w:multiLevelType w:val="hybridMultilevel"/>
    <w:tmpl w:val="9C32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37304"/>
    <w:multiLevelType w:val="hybridMultilevel"/>
    <w:tmpl w:val="3C34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94283"/>
    <w:multiLevelType w:val="hybridMultilevel"/>
    <w:tmpl w:val="85BE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611D0"/>
    <w:multiLevelType w:val="hybridMultilevel"/>
    <w:tmpl w:val="1D50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72D45"/>
    <w:multiLevelType w:val="multilevel"/>
    <w:tmpl w:val="2818A80C"/>
    <w:lvl w:ilvl="0">
      <w:start w:val="1"/>
      <w:numFmt w:val="decimal"/>
      <w:pStyle w:val="Titre1"/>
      <w:lvlText w:val="%1.0"/>
      <w:lvlJc w:val="left"/>
      <w:pPr>
        <w:tabs>
          <w:tab w:val="num" w:pos="567"/>
        </w:tabs>
        <w:ind w:left="0" w:firstLine="0"/>
      </w:pPr>
      <w:rPr>
        <w:rFonts w:hint="default"/>
      </w:rPr>
    </w:lvl>
    <w:lvl w:ilvl="1">
      <w:start w:val="1"/>
      <w:numFmt w:val="decimal"/>
      <w:pStyle w:val="Titre2"/>
      <w:lvlText w:val="%1.%2"/>
      <w:lvlJc w:val="left"/>
      <w:pPr>
        <w:tabs>
          <w:tab w:val="num" w:pos="567"/>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399709C4"/>
    <w:multiLevelType w:val="hybridMultilevel"/>
    <w:tmpl w:val="A96AE07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3D9F45BC"/>
    <w:multiLevelType w:val="hybridMultilevel"/>
    <w:tmpl w:val="FCD6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D1C6E"/>
    <w:multiLevelType w:val="hybridMultilevel"/>
    <w:tmpl w:val="BCA8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277E2"/>
    <w:multiLevelType w:val="multilevel"/>
    <w:tmpl w:val="F834A412"/>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6B55EC"/>
    <w:multiLevelType w:val="hybridMultilevel"/>
    <w:tmpl w:val="59CEA6D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6" w15:restartNumberingAfterBreak="0">
    <w:nsid w:val="46CE7EBA"/>
    <w:multiLevelType w:val="hybridMultilevel"/>
    <w:tmpl w:val="DA14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73E0A"/>
    <w:multiLevelType w:val="hybridMultilevel"/>
    <w:tmpl w:val="6BECC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4F12EE"/>
    <w:multiLevelType w:val="hybridMultilevel"/>
    <w:tmpl w:val="C2F85D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7B5073"/>
    <w:multiLevelType w:val="hybridMultilevel"/>
    <w:tmpl w:val="3F90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33B91"/>
    <w:multiLevelType w:val="hybridMultilevel"/>
    <w:tmpl w:val="D334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95488"/>
    <w:multiLevelType w:val="hybridMultilevel"/>
    <w:tmpl w:val="E9FAB612"/>
    <w:lvl w:ilvl="0" w:tplc="7FE6085C">
      <w:start w:val="1"/>
      <w:numFmt w:val="bullet"/>
      <w:pStyle w:val="Bulletlist"/>
      <w:lvlText w:val=""/>
      <w:lvlJc w:val="left"/>
      <w:pPr>
        <w:ind w:left="720" w:hanging="360"/>
      </w:pPr>
      <w:rPr>
        <w:rFonts w:ascii="Symbol" w:hAnsi="Symbol" w:hint="default"/>
        <w:color w:val="0092A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74C22"/>
    <w:multiLevelType w:val="hybridMultilevel"/>
    <w:tmpl w:val="7A440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86DBB"/>
    <w:multiLevelType w:val="hybridMultilevel"/>
    <w:tmpl w:val="CEF2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A017B"/>
    <w:multiLevelType w:val="hybridMultilevel"/>
    <w:tmpl w:val="187006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4575B2"/>
    <w:multiLevelType w:val="hybridMultilevel"/>
    <w:tmpl w:val="6DDA9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2B5511"/>
    <w:multiLevelType w:val="singleLevel"/>
    <w:tmpl w:val="74A09970"/>
    <w:lvl w:ilvl="0">
      <w:start w:val="1"/>
      <w:numFmt w:val="bullet"/>
      <w:lvlRestart w:val="0"/>
      <w:pStyle w:val="Listepuces"/>
      <w:lvlText w:val=""/>
      <w:lvlJc w:val="left"/>
      <w:pPr>
        <w:tabs>
          <w:tab w:val="num" w:pos="283"/>
        </w:tabs>
        <w:ind w:left="283" w:hanging="283"/>
      </w:pPr>
      <w:rPr>
        <w:rFonts w:ascii="Symbol" w:hAnsi="Symbol" w:hint="default"/>
      </w:rPr>
    </w:lvl>
  </w:abstractNum>
  <w:abstractNum w:abstractNumId="27" w15:restartNumberingAfterBreak="0">
    <w:nsid w:val="717B4102"/>
    <w:multiLevelType w:val="hybridMultilevel"/>
    <w:tmpl w:val="5556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63EC1"/>
    <w:multiLevelType w:val="multilevel"/>
    <w:tmpl w:val="2EBEAD50"/>
    <w:styleLink w:val="111111"/>
    <w:lvl w:ilvl="0">
      <w:start w:val="1"/>
      <w:numFmt w:val="decimal"/>
      <w:lvlText w:val="%1.0"/>
      <w:lvlJc w:val="left"/>
      <w:pPr>
        <w:tabs>
          <w:tab w:val="num" w:pos="720"/>
        </w:tabs>
        <w:ind w:left="360" w:hanging="360"/>
      </w:pPr>
      <w:rPr>
        <w:rFonts w:ascii="Arial" w:hAnsi="Arial" w:hint="default"/>
        <w:b/>
        <w:color w:val="808080"/>
        <w:sz w:val="32"/>
      </w:rPr>
    </w:lvl>
    <w:lvl w:ilvl="1">
      <w:start w:val="1"/>
      <w:numFmt w:val="decimal"/>
      <w:lvlText w:val="%1.%2."/>
      <w:lvlJc w:val="left"/>
      <w:pPr>
        <w:tabs>
          <w:tab w:val="num" w:pos="1800"/>
        </w:tabs>
        <w:ind w:left="792" w:hanging="432"/>
      </w:pPr>
      <w:rPr>
        <w:rFonts w:ascii="Arial" w:hAnsi="Arial" w:hint="default"/>
        <w:color w:val="808080"/>
        <w:sz w:val="24"/>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9" w15:restartNumberingAfterBreak="0">
    <w:nsid w:val="751C0E7C"/>
    <w:multiLevelType w:val="hybridMultilevel"/>
    <w:tmpl w:val="D1F2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43365E"/>
    <w:multiLevelType w:val="hybridMultilevel"/>
    <w:tmpl w:val="C2EA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0"/>
  </w:num>
  <w:num w:numId="4">
    <w:abstractNumId w:val="1"/>
  </w:num>
  <w:num w:numId="5">
    <w:abstractNumId w:val="26"/>
  </w:num>
  <w:num w:numId="6">
    <w:abstractNumId w:val="14"/>
  </w:num>
  <w:num w:numId="7">
    <w:abstractNumId w:val="21"/>
  </w:num>
  <w:num w:numId="8">
    <w:abstractNumId w:val="22"/>
  </w:num>
  <w:num w:numId="9">
    <w:abstractNumId w:val="5"/>
  </w:num>
  <w:num w:numId="10">
    <w:abstractNumId w:val="29"/>
  </w:num>
  <w:num w:numId="11">
    <w:abstractNumId w:val="12"/>
  </w:num>
  <w:num w:numId="12">
    <w:abstractNumId w:val="9"/>
  </w:num>
  <w:num w:numId="13">
    <w:abstractNumId w:val="20"/>
  </w:num>
  <w:num w:numId="14">
    <w:abstractNumId w:val="19"/>
  </w:num>
  <w:num w:numId="15">
    <w:abstractNumId w:val="13"/>
  </w:num>
  <w:num w:numId="16">
    <w:abstractNumId w:val="7"/>
  </w:num>
  <w:num w:numId="17">
    <w:abstractNumId w:val="27"/>
  </w:num>
  <w:num w:numId="18">
    <w:abstractNumId w:val="11"/>
  </w:num>
  <w:num w:numId="19">
    <w:abstractNumId w:val="15"/>
  </w:num>
  <w:num w:numId="20">
    <w:abstractNumId w:val="3"/>
  </w:num>
  <w:num w:numId="21">
    <w:abstractNumId w:val="25"/>
  </w:num>
  <w:num w:numId="22">
    <w:abstractNumId w:val="17"/>
  </w:num>
  <w:num w:numId="23">
    <w:abstractNumId w:val="2"/>
  </w:num>
  <w:num w:numId="24">
    <w:abstractNumId w:val="18"/>
  </w:num>
  <w:num w:numId="25">
    <w:abstractNumId w:val="16"/>
  </w:num>
  <w:num w:numId="26">
    <w:abstractNumId w:val="4"/>
  </w:num>
  <w:num w:numId="27">
    <w:abstractNumId w:val="23"/>
  </w:num>
  <w:num w:numId="28">
    <w:abstractNumId w:val="30"/>
  </w:num>
  <w:num w:numId="29">
    <w:abstractNumId w:val="8"/>
  </w:num>
  <w:num w:numId="30">
    <w:abstractNumId w:val="6"/>
  </w:num>
  <w:num w:numId="3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B2"/>
    <w:rsid w:val="000000F7"/>
    <w:rsid w:val="0000335E"/>
    <w:rsid w:val="00004AF1"/>
    <w:rsid w:val="00005F6A"/>
    <w:rsid w:val="00014569"/>
    <w:rsid w:val="00017F9D"/>
    <w:rsid w:val="000209F9"/>
    <w:rsid w:val="00021176"/>
    <w:rsid w:val="00021FDB"/>
    <w:rsid w:val="0002317B"/>
    <w:rsid w:val="00026BF3"/>
    <w:rsid w:val="0002705F"/>
    <w:rsid w:val="000341B7"/>
    <w:rsid w:val="00034432"/>
    <w:rsid w:val="000359B5"/>
    <w:rsid w:val="00042750"/>
    <w:rsid w:val="00043A2E"/>
    <w:rsid w:val="00044A6A"/>
    <w:rsid w:val="000453B5"/>
    <w:rsid w:val="000460B8"/>
    <w:rsid w:val="000464E6"/>
    <w:rsid w:val="000500F3"/>
    <w:rsid w:val="00051B98"/>
    <w:rsid w:val="00052583"/>
    <w:rsid w:val="0005514E"/>
    <w:rsid w:val="00061F99"/>
    <w:rsid w:val="00062969"/>
    <w:rsid w:val="00065341"/>
    <w:rsid w:val="0006547B"/>
    <w:rsid w:val="000711A3"/>
    <w:rsid w:val="0007290F"/>
    <w:rsid w:val="00072A16"/>
    <w:rsid w:val="00073622"/>
    <w:rsid w:val="000742FB"/>
    <w:rsid w:val="00074B46"/>
    <w:rsid w:val="00077D09"/>
    <w:rsid w:val="00081FB9"/>
    <w:rsid w:val="00083B73"/>
    <w:rsid w:val="00086B5E"/>
    <w:rsid w:val="00087F3F"/>
    <w:rsid w:val="000906EB"/>
    <w:rsid w:val="00090773"/>
    <w:rsid w:val="00090AAE"/>
    <w:rsid w:val="00091A8D"/>
    <w:rsid w:val="0009477B"/>
    <w:rsid w:val="00094BED"/>
    <w:rsid w:val="0009793C"/>
    <w:rsid w:val="000A24C3"/>
    <w:rsid w:val="000A3FAE"/>
    <w:rsid w:val="000A5253"/>
    <w:rsid w:val="000A63B4"/>
    <w:rsid w:val="000B2C0B"/>
    <w:rsid w:val="000B3DBE"/>
    <w:rsid w:val="000B42F2"/>
    <w:rsid w:val="000B54DD"/>
    <w:rsid w:val="000B5C82"/>
    <w:rsid w:val="000C0929"/>
    <w:rsid w:val="000C1E0E"/>
    <w:rsid w:val="000C2098"/>
    <w:rsid w:val="000C28A6"/>
    <w:rsid w:val="000C3D9C"/>
    <w:rsid w:val="000C6033"/>
    <w:rsid w:val="000C701C"/>
    <w:rsid w:val="000D1DD3"/>
    <w:rsid w:val="000D6CE5"/>
    <w:rsid w:val="000E5286"/>
    <w:rsid w:val="000E557A"/>
    <w:rsid w:val="000E5AFB"/>
    <w:rsid w:val="000F25D9"/>
    <w:rsid w:val="000F298A"/>
    <w:rsid w:val="000F50AA"/>
    <w:rsid w:val="000F59BA"/>
    <w:rsid w:val="000F7E86"/>
    <w:rsid w:val="00102C37"/>
    <w:rsid w:val="00103DA8"/>
    <w:rsid w:val="0010452E"/>
    <w:rsid w:val="001045EE"/>
    <w:rsid w:val="00105DEF"/>
    <w:rsid w:val="0011581C"/>
    <w:rsid w:val="00117AEE"/>
    <w:rsid w:val="001210A6"/>
    <w:rsid w:val="001252F3"/>
    <w:rsid w:val="00127B2D"/>
    <w:rsid w:val="001338D6"/>
    <w:rsid w:val="0013451B"/>
    <w:rsid w:val="0013471D"/>
    <w:rsid w:val="0013625E"/>
    <w:rsid w:val="00142466"/>
    <w:rsid w:val="00155B77"/>
    <w:rsid w:val="001619B3"/>
    <w:rsid w:val="001674B9"/>
    <w:rsid w:val="0018127C"/>
    <w:rsid w:val="0018129B"/>
    <w:rsid w:val="00182E0B"/>
    <w:rsid w:val="0018303C"/>
    <w:rsid w:val="001833F7"/>
    <w:rsid w:val="00185A97"/>
    <w:rsid w:val="001917EA"/>
    <w:rsid w:val="0019326F"/>
    <w:rsid w:val="001A0C3C"/>
    <w:rsid w:val="001A7CDC"/>
    <w:rsid w:val="001B0BE8"/>
    <w:rsid w:val="001B0FC7"/>
    <w:rsid w:val="001B23E9"/>
    <w:rsid w:val="001B3CA8"/>
    <w:rsid w:val="001B4EC7"/>
    <w:rsid w:val="001B50A8"/>
    <w:rsid w:val="001B6E24"/>
    <w:rsid w:val="001C1BDF"/>
    <w:rsid w:val="001C59D4"/>
    <w:rsid w:val="001C5D9C"/>
    <w:rsid w:val="001C6BFD"/>
    <w:rsid w:val="001D0118"/>
    <w:rsid w:val="001D3000"/>
    <w:rsid w:val="001D3DB0"/>
    <w:rsid w:val="001D51E3"/>
    <w:rsid w:val="001D568A"/>
    <w:rsid w:val="001D6FAA"/>
    <w:rsid w:val="001D7308"/>
    <w:rsid w:val="001D76A2"/>
    <w:rsid w:val="001D7756"/>
    <w:rsid w:val="001E09CB"/>
    <w:rsid w:val="001E4B7D"/>
    <w:rsid w:val="001F0781"/>
    <w:rsid w:val="001F40EA"/>
    <w:rsid w:val="001F712A"/>
    <w:rsid w:val="001F71AE"/>
    <w:rsid w:val="0020206B"/>
    <w:rsid w:val="0020460B"/>
    <w:rsid w:val="00206B5F"/>
    <w:rsid w:val="00206C5B"/>
    <w:rsid w:val="00206C8A"/>
    <w:rsid w:val="00207354"/>
    <w:rsid w:val="002077C8"/>
    <w:rsid w:val="0021059A"/>
    <w:rsid w:val="00210A67"/>
    <w:rsid w:val="002126B0"/>
    <w:rsid w:val="002128BF"/>
    <w:rsid w:val="00212ED7"/>
    <w:rsid w:val="002178D7"/>
    <w:rsid w:val="00221ED8"/>
    <w:rsid w:val="002260B7"/>
    <w:rsid w:val="00235F5D"/>
    <w:rsid w:val="00236380"/>
    <w:rsid w:val="00242231"/>
    <w:rsid w:val="002436DF"/>
    <w:rsid w:val="00250F60"/>
    <w:rsid w:val="00252C72"/>
    <w:rsid w:val="00253A7A"/>
    <w:rsid w:val="002552E0"/>
    <w:rsid w:val="0026028D"/>
    <w:rsid w:val="002605C7"/>
    <w:rsid w:val="00263782"/>
    <w:rsid w:val="0026406B"/>
    <w:rsid w:val="00265020"/>
    <w:rsid w:val="002707DF"/>
    <w:rsid w:val="00271E19"/>
    <w:rsid w:val="0027279F"/>
    <w:rsid w:val="00272DCC"/>
    <w:rsid w:val="00274E1F"/>
    <w:rsid w:val="00276954"/>
    <w:rsid w:val="00277EEC"/>
    <w:rsid w:val="002813E7"/>
    <w:rsid w:val="0028295C"/>
    <w:rsid w:val="00282C8E"/>
    <w:rsid w:val="00286380"/>
    <w:rsid w:val="0029023A"/>
    <w:rsid w:val="002927D0"/>
    <w:rsid w:val="002934A5"/>
    <w:rsid w:val="002979AD"/>
    <w:rsid w:val="002A21B3"/>
    <w:rsid w:val="002A73A6"/>
    <w:rsid w:val="002B2CD8"/>
    <w:rsid w:val="002B5531"/>
    <w:rsid w:val="002C07D6"/>
    <w:rsid w:val="002C19DD"/>
    <w:rsid w:val="002C1F08"/>
    <w:rsid w:val="002C747D"/>
    <w:rsid w:val="002C77B8"/>
    <w:rsid w:val="002D1745"/>
    <w:rsid w:val="002D4DC1"/>
    <w:rsid w:val="002E02BB"/>
    <w:rsid w:val="002E24A4"/>
    <w:rsid w:val="002E74EF"/>
    <w:rsid w:val="002F40E3"/>
    <w:rsid w:val="002F4C86"/>
    <w:rsid w:val="00307E93"/>
    <w:rsid w:val="003115C1"/>
    <w:rsid w:val="003130B7"/>
    <w:rsid w:val="003139BE"/>
    <w:rsid w:val="00315505"/>
    <w:rsid w:val="00317D43"/>
    <w:rsid w:val="00320936"/>
    <w:rsid w:val="00320DD8"/>
    <w:rsid w:val="00320E62"/>
    <w:rsid w:val="003321DA"/>
    <w:rsid w:val="00334AAA"/>
    <w:rsid w:val="003357B3"/>
    <w:rsid w:val="00336969"/>
    <w:rsid w:val="00340E4A"/>
    <w:rsid w:val="00343E0F"/>
    <w:rsid w:val="00343E13"/>
    <w:rsid w:val="003472D4"/>
    <w:rsid w:val="0035049B"/>
    <w:rsid w:val="00351205"/>
    <w:rsid w:val="00351309"/>
    <w:rsid w:val="00355F85"/>
    <w:rsid w:val="003605AD"/>
    <w:rsid w:val="00360ADE"/>
    <w:rsid w:val="00364658"/>
    <w:rsid w:val="00365431"/>
    <w:rsid w:val="003677BE"/>
    <w:rsid w:val="00367CD2"/>
    <w:rsid w:val="00370032"/>
    <w:rsid w:val="00370FBC"/>
    <w:rsid w:val="00371501"/>
    <w:rsid w:val="00371DF2"/>
    <w:rsid w:val="00373428"/>
    <w:rsid w:val="00376BAD"/>
    <w:rsid w:val="00377863"/>
    <w:rsid w:val="003807EB"/>
    <w:rsid w:val="00382588"/>
    <w:rsid w:val="00384E0D"/>
    <w:rsid w:val="003869EC"/>
    <w:rsid w:val="00386FAF"/>
    <w:rsid w:val="003917AA"/>
    <w:rsid w:val="00394AE8"/>
    <w:rsid w:val="003966F2"/>
    <w:rsid w:val="00396773"/>
    <w:rsid w:val="00396EC3"/>
    <w:rsid w:val="003A3456"/>
    <w:rsid w:val="003A3DA4"/>
    <w:rsid w:val="003A6B09"/>
    <w:rsid w:val="003A7D90"/>
    <w:rsid w:val="003B083C"/>
    <w:rsid w:val="003B0D29"/>
    <w:rsid w:val="003B19E8"/>
    <w:rsid w:val="003B1BC7"/>
    <w:rsid w:val="003B21E8"/>
    <w:rsid w:val="003B2FA8"/>
    <w:rsid w:val="003B30D1"/>
    <w:rsid w:val="003B3B68"/>
    <w:rsid w:val="003B3EDF"/>
    <w:rsid w:val="003B48A3"/>
    <w:rsid w:val="003B76C4"/>
    <w:rsid w:val="003B7DFB"/>
    <w:rsid w:val="003C14E8"/>
    <w:rsid w:val="003C15A0"/>
    <w:rsid w:val="003C1D39"/>
    <w:rsid w:val="003C2F27"/>
    <w:rsid w:val="003C3B40"/>
    <w:rsid w:val="003D0824"/>
    <w:rsid w:val="003D3144"/>
    <w:rsid w:val="003D462B"/>
    <w:rsid w:val="003D47D6"/>
    <w:rsid w:val="003D7A50"/>
    <w:rsid w:val="003E07E4"/>
    <w:rsid w:val="003E1435"/>
    <w:rsid w:val="003E3E25"/>
    <w:rsid w:val="003E3F4F"/>
    <w:rsid w:val="003E4ABB"/>
    <w:rsid w:val="003E5495"/>
    <w:rsid w:val="003E5F7C"/>
    <w:rsid w:val="003E6951"/>
    <w:rsid w:val="003E7A4B"/>
    <w:rsid w:val="003F554F"/>
    <w:rsid w:val="003F6F9C"/>
    <w:rsid w:val="003F7CDD"/>
    <w:rsid w:val="003F7E12"/>
    <w:rsid w:val="003F7E14"/>
    <w:rsid w:val="00403983"/>
    <w:rsid w:val="00405770"/>
    <w:rsid w:val="004066B0"/>
    <w:rsid w:val="004104F9"/>
    <w:rsid w:val="00411842"/>
    <w:rsid w:val="00412289"/>
    <w:rsid w:val="00414C5C"/>
    <w:rsid w:val="0041521A"/>
    <w:rsid w:val="00416083"/>
    <w:rsid w:val="00420ED6"/>
    <w:rsid w:val="00422169"/>
    <w:rsid w:val="00422468"/>
    <w:rsid w:val="004303C4"/>
    <w:rsid w:val="00432984"/>
    <w:rsid w:val="00433797"/>
    <w:rsid w:val="00436306"/>
    <w:rsid w:val="004365B6"/>
    <w:rsid w:val="00436716"/>
    <w:rsid w:val="00436A6C"/>
    <w:rsid w:val="00440EF9"/>
    <w:rsid w:val="00451F16"/>
    <w:rsid w:val="00463145"/>
    <w:rsid w:val="004639FB"/>
    <w:rsid w:val="00464976"/>
    <w:rsid w:val="004659E1"/>
    <w:rsid w:val="0046623C"/>
    <w:rsid w:val="004664B5"/>
    <w:rsid w:val="004700AB"/>
    <w:rsid w:val="00470BA4"/>
    <w:rsid w:val="00470CFC"/>
    <w:rsid w:val="00474DE9"/>
    <w:rsid w:val="00477647"/>
    <w:rsid w:val="00477B4B"/>
    <w:rsid w:val="00480C2C"/>
    <w:rsid w:val="00481B58"/>
    <w:rsid w:val="004845E5"/>
    <w:rsid w:val="0049059A"/>
    <w:rsid w:val="00497492"/>
    <w:rsid w:val="004A2010"/>
    <w:rsid w:val="004A2FCC"/>
    <w:rsid w:val="004A3210"/>
    <w:rsid w:val="004A3F03"/>
    <w:rsid w:val="004B0EDA"/>
    <w:rsid w:val="004B3002"/>
    <w:rsid w:val="004B3642"/>
    <w:rsid w:val="004B7172"/>
    <w:rsid w:val="004B7FBE"/>
    <w:rsid w:val="004D2A74"/>
    <w:rsid w:val="004D58F6"/>
    <w:rsid w:val="004E1C9F"/>
    <w:rsid w:val="004E6C89"/>
    <w:rsid w:val="004F143F"/>
    <w:rsid w:val="004F1A0D"/>
    <w:rsid w:val="004F27DA"/>
    <w:rsid w:val="004F4EE4"/>
    <w:rsid w:val="004F54D4"/>
    <w:rsid w:val="0050059E"/>
    <w:rsid w:val="005009B8"/>
    <w:rsid w:val="0050118B"/>
    <w:rsid w:val="00501B7D"/>
    <w:rsid w:val="00502360"/>
    <w:rsid w:val="005023BD"/>
    <w:rsid w:val="00502418"/>
    <w:rsid w:val="005048E1"/>
    <w:rsid w:val="00506775"/>
    <w:rsid w:val="00507F13"/>
    <w:rsid w:val="00511D2A"/>
    <w:rsid w:val="005145E2"/>
    <w:rsid w:val="00515FA3"/>
    <w:rsid w:val="00517155"/>
    <w:rsid w:val="00520268"/>
    <w:rsid w:val="005217A0"/>
    <w:rsid w:val="00522628"/>
    <w:rsid w:val="005233BD"/>
    <w:rsid w:val="00523B79"/>
    <w:rsid w:val="00525D30"/>
    <w:rsid w:val="005262ED"/>
    <w:rsid w:val="00530908"/>
    <w:rsid w:val="00532C07"/>
    <w:rsid w:val="00537A0A"/>
    <w:rsid w:val="00542DEE"/>
    <w:rsid w:val="00545265"/>
    <w:rsid w:val="005478E1"/>
    <w:rsid w:val="00550406"/>
    <w:rsid w:val="00554D2C"/>
    <w:rsid w:val="00556BC9"/>
    <w:rsid w:val="00561E1A"/>
    <w:rsid w:val="00562947"/>
    <w:rsid w:val="0056716F"/>
    <w:rsid w:val="005731A4"/>
    <w:rsid w:val="005739D8"/>
    <w:rsid w:val="00574628"/>
    <w:rsid w:val="00581B15"/>
    <w:rsid w:val="00583ABA"/>
    <w:rsid w:val="005857A6"/>
    <w:rsid w:val="005860E9"/>
    <w:rsid w:val="005909B2"/>
    <w:rsid w:val="00591602"/>
    <w:rsid w:val="00595731"/>
    <w:rsid w:val="00596789"/>
    <w:rsid w:val="00596F04"/>
    <w:rsid w:val="005A061D"/>
    <w:rsid w:val="005A0889"/>
    <w:rsid w:val="005A61B0"/>
    <w:rsid w:val="005B0B2B"/>
    <w:rsid w:val="005B0E0D"/>
    <w:rsid w:val="005B1376"/>
    <w:rsid w:val="005B1468"/>
    <w:rsid w:val="005B2319"/>
    <w:rsid w:val="005C4653"/>
    <w:rsid w:val="005C6DBD"/>
    <w:rsid w:val="005D1F52"/>
    <w:rsid w:val="005D3921"/>
    <w:rsid w:val="005E4B1F"/>
    <w:rsid w:val="005E4FE3"/>
    <w:rsid w:val="005F0223"/>
    <w:rsid w:val="005F1C68"/>
    <w:rsid w:val="005F47AB"/>
    <w:rsid w:val="00602AF4"/>
    <w:rsid w:val="00604035"/>
    <w:rsid w:val="006120F3"/>
    <w:rsid w:val="006131F4"/>
    <w:rsid w:val="00615266"/>
    <w:rsid w:val="00623265"/>
    <w:rsid w:val="00623B9F"/>
    <w:rsid w:val="0062489A"/>
    <w:rsid w:val="00624BED"/>
    <w:rsid w:val="006268C9"/>
    <w:rsid w:val="0063086F"/>
    <w:rsid w:val="00630A25"/>
    <w:rsid w:val="00631866"/>
    <w:rsid w:val="006325BD"/>
    <w:rsid w:val="006347D6"/>
    <w:rsid w:val="006355AA"/>
    <w:rsid w:val="00636EFF"/>
    <w:rsid w:val="006409BD"/>
    <w:rsid w:val="006427C4"/>
    <w:rsid w:val="00644623"/>
    <w:rsid w:val="006449AB"/>
    <w:rsid w:val="006462DC"/>
    <w:rsid w:val="006475CB"/>
    <w:rsid w:val="006500C5"/>
    <w:rsid w:val="0065532D"/>
    <w:rsid w:val="00656758"/>
    <w:rsid w:val="00656A78"/>
    <w:rsid w:val="006611DA"/>
    <w:rsid w:val="00661505"/>
    <w:rsid w:val="00661DED"/>
    <w:rsid w:val="00670E60"/>
    <w:rsid w:val="00672923"/>
    <w:rsid w:val="00672D53"/>
    <w:rsid w:val="00673795"/>
    <w:rsid w:val="0067428A"/>
    <w:rsid w:val="006764DB"/>
    <w:rsid w:val="006820E4"/>
    <w:rsid w:val="0068415E"/>
    <w:rsid w:val="00685040"/>
    <w:rsid w:val="0068564B"/>
    <w:rsid w:val="00695F29"/>
    <w:rsid w:val="00696285"/>
    <w:rsid w:val="00696450"/>
    <w:rsid w:val="006A28A8"/>
    <w:rsid w:val="006A4A69"/>
    <w:rsid w:val="006A5175"/>
    <w:rsid w:val="006A6417"/>
    <w:rsid w:val="006A6C31"/>
    <w:rsid w:val="006A729F"/>
    <w:rsid w:val="006A75FF"/>
    <w:rsid w:val="006B0578"/>
    <w:rsid w:val="006B0D05"/>
    <w:rsid w:val="006B24AD"/>
    <w:rsid w:val="006B6BCD"/>
    <w:rsid w:val="006C16A9"/>
    <w:rsid w:val="006C2E44"/>
    <w:rsid w:val="006C3738"/>
    <w:rsid w:val="006C4250"/>
    <w:rsid w:val="006C4FA0"/>
    <w:rsid w:val="006D3E9A"/>
    <w:rsid w:val="006E0FC2"/>
    <w:rsid w:val="006E16B1"/>
    <w:rsid w:val="006E22B7"/>
    <w:rsid w:val="006E2A73"/>
    <w:rsid w:val="006E3597"/>
    <w:rsid w:val="006E3841"/>
    <w:rsid w:val="006F0863"/>
    <w:rsid w:val="006F174C"/>
    <w:rsid w:val="006F3192"/>
    <w:rsid w:val="006F4026"/>
    <w:rsid w:val="006F4B14"/>
    <w:rsid w:val="006F50A0"/>
    <w:rsid w:val="006F6B5C"/>
    <w:rsid w:val="006F6F0A"/>
    <w:rsid w:val="00705095"/>
    <w:rsid w:val="0070617F"/>
    <w:rsid w:val="00707EEE"/>
    <w:rsid w:val="00712100"/>
    <w:rsid w:val="00713115"/>
    <w:rsid w:val="007132DD"/>
    <w:rsid w:val="007141A3"/>
    <w:rsid w:val="00714C5B"/>
    <w:rsid w:val="007162D1"/>
    <w:rsid w:val="007208C8"/>
    <w:rsid w:val="00720B87"/>
    <w:rsid w:val="0072310F"/>
    <w:rsid w:val="00724F71"/>
    <w:rsid w:val="0072524C"/>
    <w:rsid w:val="007304AE"/>
    <w:rsid w:val="00730B03"/>
    <w:rsid w:val="0073391C"/>
    <w:rsid w:val="007349AA"/>
    <w:rsid w:val="00737AD1"/>
    <w:rsid w:val="00743790"/>
    <w:rsid w:val="00743EB7"/>
    <w:rsid w:val="00745DE2"/>
    <w:rsid w:val="00746699"/>
    <w:rsid w:val="007479BA"/>
    <w:rsid w:val="00752BD4"/>
    <w:rsid w:val="0075653C"/>
    <w:rsid w:val="00757173"/>
    <w:rsid w:val="0076252A"/>
    <w:rsid w:val="00763814"/>
    <w:rsid w:val="0077060F"/>
    <w:rsid w:val="007725B5"/>
    <w:rsid w:val="00775574"/>
    <w:rsid w:val="007768A2"/>
    <w:rsid w:val="00776F35"/>
    <w:rsid w:val="007771D3"/>
    <w:rsid w:val="00777238"/>
    <w:rsid w:val="00782E7D"/>
    <w:rsid w:val="00790BEC"/>
    <w:rsid w:val="00790D5D"/>
    <w:rsid w:val="00795519"/>
    <w:rsid w:val="007A10E6"/>
    <w:rsid w:val="007A1934"/>
    <w:rsid w:val="007A26FA"/>
    <w:rsid w:val="007A343C"/>
    <w:rsid w:val="007A4784"/>
    <w:rsid w:val="007A6D67"/>
    <w:rsid w:val="007B35AB"/>
    <w:rsid w:val="007B73DD"/>
    <w:rsid w:val="007C2120"/>
    <w:rsid w:val="007C3FDB"/>
    <w:rsid w:val="007C6C18"/>
    <w:rsid w:val="007D380F"/>
    <w:rsid w:val="007D49A7"/>
    <w:rsid w:val="007E1417"/>
    <w:rsid w:val="007F03C8"/>
    <w:rsid w:val="0080134D"/>
    <w:rsid w:val="008016BC"/>
    <w:rsid w:val="0080197A"/>
    <w:rsid w:val="00801EAB"/>
    <w:rsid w:val="00802FB1"/>
    <w:rsid w:val="0080579C"/>
    <w:rsid w:val="008062C8"/>
    <w:rsid w:val="00815987"/>
    <w:rsid w:val="00815E2B"/>
    <w:rsid w:val="00820605"/>
    <w:rsid w:val="008226CC"/>
    <w:rsid w:val="00823873"/>
    <w:rsid w:val="008247AD"/>
    <w:rsid w:val="00826DB8"/>
    <w:rsid w:val="00827A06"/>
    <w:rsid w:val="00830EDD"/>
    <w:rsid w:val="0083395A"/>
    <w:rsid w:val="008341FD"/>
    <w:rsid w:val="008354DB"/>
    <w:rsid w:val="00843B57"/>
    <w:rsid w:val="00844682"/>
    <w:rsid w:val="00845A99"/>
    <w:rsid w:val="00847166"/>
    <w:rsid w:val="008517E2"/>
    <w:rsid w:val="008528BD"/>
    <w:rsid w:val="00853BAA"/>
    <w:rsid w:val="00860609"/>
    <w:rsid w:val="0086569B"/>
    <w:rsid w:val="00867421"/>
    <w:rsid w:val="00870861"/>
    <w:rsid w:val="00870D57"/>
    <w:rsid w:val="0087289E"/>
    <w:rsid w:val="00872F55"/>
    <w:rsid w:val="00873E50"/>
    <w:rsid w:val="00874BB2"/>
    <w:rsid w:val="008758E3"/>
    <w:rsid w:val="0087776F"/>
    <w:rsid w:val="00880CAF"/>
    <w:rsid w:val="00882164"/>
    <w:rsid w:val="0088220F"/>
    <w:rsid w:val="00884C45"/>
    <w:rsid w:val="0089246B"/>
    <w:rsid w:val="00894A43"/>
    <w:rsid w:val="00895A9D"/>
    <w:rsid w:val="0089637B"/>
    <w:rsid w:val="00896530"/>
    <w:rsid w:val="008970D3"/>
    <w:rsid w:val="008A2C06"/>
    <w:rsid w:val="008A4970"/>
    <w:rsid w:val="008B0502"/>
    <w:rsid w:val="008B1EB4"/>
    <w:rsid w:val="008B21BC"/>
    <w:rsid w:val="008B3FD9"/>
    <w:rsid w:val="008B6323"/>
    <w:rsid w:val="008B6E8F"/>
    <w:rsid w:val="008C0155"/>
    <w:rsid w:val="008C1D8B"/>
    <w:rsid w:val="008C5ABB"/>
    <w:rsid w:val="008D0FD3"/>
    <w:rsid w:val="008D12AE"/>
    <w:rsid w:val="008D13FC"/>
    <w:rsid w:val="008D2842"/>
    <w:rsid w:val="008D4766"/>
    <w:rsid w:val="008E287C"/>
    <w:rsid w:val="008E4BF6"/>
    <w:rsid w:val="008F7DF8"/>
    <w:rsid w:val="0090147A"/>
    <w:rsid w:val="009019ED"/>
    <w:rsid w:val="00902646"/>
    <w:rsid w:val="00903355"/>
    <w:rsid w:val="009105D1"/>
    <w:rsid w:val="00914F16"/>
    <w:rsid w:val="009159FD"/>
    <w:rsid w:val="009173E7"/>
    <w:rsid w:val="009245AF"/>
    <w:rsid w:val="0092512F"/>
    <w:rsid w:val="009268ED"/>
    <w:rsid w:val="00931781"/>
    <w:rsid w:val="0093210A"/>
    <w:rsid w:val="009328CE"/>
    <w:rsid w:val="00932EFE"/>
    <w:rsid w:val="0093572E"/>
    <w:rsid w:val="00935DEC"/>
    <w:rsid w:val="00936E7C"/>
    <w:rsid w:val="00937546"/>
    <w:rsid w:val="0094066A"/>
    <w:rsid w:val="00943D9C"/>
    <w:rsid w:val="009465DB"/>
    <w:rsid w:val="0094799C"/>
    <w:rsid w:val="00950ACF"/>
    <w:rsid w:val="00950B91"/>
    <w:rsid w:val="0095292F"/>
    <w:rsid w:val="00953D59"/>
    <w:rsid w:val="0095402D"/>
    <w:rsid w:val="00955C2D"/>
    <w:rsid w:val="00955E44"/>
    <w:rsid w:val="00955F0A"/>
    <w:rsid w:val="00961540"/>
    <w:rsid w:val="00961D91"/>
    <w:rsid w:val="00963275"/>
    <w:rsid w:val="00964FA9"/>
    <w:rsid w:val="0096607B"/>
    <w:rsid w:val="00972066"/>
    <w:rsid w:val="0097555D"/>
    <w:rsid w:val="009821D7"/>
    <w:rsid w:val="00990443"/>
    <w:rsid w:val="00991811"/>
    <w:rsid w:val="00994B47"/>
    <w:rsid w:val="00997228"/>
    <w:rsid w:val="009A1DB9"/>
    <w:rsid w:val="009A5188"/>
    <w:rsid w:val="009B0209"/>
    <w:rsid w:val="009B1AEC"/>
    <w:rsid w:val="009B33BE"/>
    <w:rsid w:val="009B3550"/>
    <w:rsid w:val="009B36EB"/>
    <w:rsid w:val="009B4FFD"/>
    <w:rsid w:val="009B6136"/>
    <w:rsid w:val="009C40A4"/>
    <w:rsid w:val="009C5FB1"/>
    <w:rsid w:val="009C716D"/>
    <w:rsid w:val="009C743E"/>
    <w:rsid w:val="009D7864"/>
    <w:rsid w:val="009E3BFF"/>
    <w:rsid w:val="009E4CFD"/>
    <w:rsid w:val="009E7320"/>
    <w:rsid w:val="009F1690"/>
    <w:rsid w:val="009F23FA"/>
    <w:rsid w:val="009F344C"/>
    <w:rsid w:val="009F4B2D"/>
    <w:rsid w:val="009F6224"/>
    <w:rsid w:val="009F63C3"/>
    <w:rsid w:val="009F6C15"/>
    <w:rsid w:val="00A02132"/>
    <w:rsid w:val="00A0388B"/>
    <w:rsid w:val="00A04448"/>
    <w:rsid w:val="00A06FB8"/>
    <w:rsid w:val="00A07D32"/>
    <w:rsid w:val="00A11CEF"/>
    <w:rsid w:val="00A1256B"/>
    <w:rsid w:val="00A1345A"/>
    <w:rsid w:val="00A1453C"/>
    <w:rsid w:val="00A1558C"/>
    <w:rsid w:val="00A161BE"/>
    <w:rsid w:val="00A170FD"/>
    <w:rsid w:val="00A20C4F"/>
    <w:rsid w:val="00A2153C"/>
    <w:rsid w:val="00A21618"/>
    <w:rsid w:val="00A2399D"/>
    <w:rsid w:val="00A24DE6"/>
    <w:rsid w:val="00A2726D"/>
    <w:rsid w:val="00A274C1"/>
    <w:rsid w:val="00A34327"/>
    <w:rsid w:val="00A44F37"/>
    <w:rsid w:val="00A45663"/>
    <w:rsid w:val="00A47C86"/>
    <w:rsid w:val="00A50C0E"/>
    <w:rsid w:val="00A52C65"/>
    <w:rsid w:val="00A54425"/>
    <w:rsid w:val="00A564F4"/>
    <w:rsid w:val="00A636D5"/>
    <w:rsid w:val="00A7255F"/>
    <w:rsid w:val="00A72CBA"/>
    <w:rsid w:val="00A7323A"/>
    <w:rsid w:val="00A746CC"/>
    <w:rsid w:val="00A75EFC"/>
    <w:rsid w:val="00A76CDC"/>
    <w:rsid w:val="00A76FE8"/>
    <w:rsid w:val="00A8008C"/>
    <w:rsid w:val="00A8048D"/>
    <w:rsid w:val="00A835DF"/>
    <w:rsid w:val="00A84BC1"/>
    <w:rsid w:val="00A84E8A"/>
    <w:rsid w:val="00A8500E"/>
    <w:rsid w:val="00A87C3A"/>
    <w:rsid w:val="00A906F7"/>
    <w:rsid w:val="00A94D86"/>
    <w:rsid w:val="00A95007"/>
    <w:rsid w:val="00AA082A"/>
    <w:rsid w:val="00AA566D"/>
    <w:rsid w:val="00AB388A"/>
    <w:rsid w:val="00AB3C0E"/>
    <w:rsid w:val="00AB6E52"/>
    <w:rsid w:val="00AB77B3"/>
    <w:rsid w:val="00AB7C94"/>
    <w:rsid w:val="00AC2BA5"/>
    <w:rsid w:val="00AC771F"/>
    <w:rsid w:val="00AD1F1E"/>
    <w:rsid w:val="00AD2F59"/>
    <w:rsid w:val="00AD2FF0"/>
    <w:rsid w:val="00AD3D1D"/>
    <w:rsid w:val="00AD3D61"/>
    <w:rsid w:val="00AD407A"/>
    <w:rsid w:val="00AD4EA6"/>
    <w:rsid w:val="00AE14CF"/>
    <w:rsid w:val="00AE23F1"/>
    <w:rsid w:val="00AF24B9"/>
    <w:rsid w:val="00AF383C"/>
    <w:rsid w:val="00B00273"/>
    <w:rsid w:val="00B002E4"/>
    <w:rsid w:val="00B015DB"/>
    <w:rsid w:val="00B01C11"/>
    <w:rsid w:val="00B0238A"/>
    <w:rsid w:val="00B05575"/>
    <w:rsid w:val="00B10D16"/>
    <w:rsid w:val="00B12528"/>
    <w:rsid w:val="00B13BD2"/>
    <w:rsid w:val="00B13EE3"/>
    <w:rsid w:val="00B16BBD"/>
    <w:rsid w:val="00B17A75"/>
    <w:rsid w:val="00B17D9F"/>
    <w:rsid w:val="00B20507"/>
    <w:rsid w:val="00B21907"/>
    <w:rsid w:val="00B225F0"/>
    <w:rsid w:val="00B25FF7"/>
    <w:rsid w:val="00B26D4E"/>
    <w:rsid w:val="00B3067A"/>
    <w:rsid w:val="00B3095B"/>
    <w:rsid w:val="00B317A4"/>
    <w:rsid w:val="00B32B3D"/>
    <w:rsid w:val="00B33F52"/>
    <w:rsid w:val="00B36B12"/>
    <w:rsid w:val="00B37826"/>
    <w:rsid w:val="00B41C48"/>
    <w:rsid w:val="00B47FC3"/>
    <w:rsid w:val="00B5205F"/>
    <w:rsid w:val="00B52D42"/>
    <w:rsid w:val="00B53BC2"/>
    <w:rsid w:val="00B5580B"/>
    <w:rsid w:val="00B572DF"/>
    <w:rsid w:val="00B57861"/>
    <w:rsid w:val="00B61B24"/>
    <w:rsid w:val="00B64406"/>
    <w:rsid w:val="00B647CD"/>
    <w:rsid w:val="00B64828"/>
    <w:rsid w:val="00B65DCD"/>
    <w:rsid w:val="00B66CFC"/>
    <w:rsid w:val="00B67CD4"/>
    <w:rsid w:val="00B724CF"/>
    <w:rsid w:val="00B72883"/>
    <w:rsid w:val="00B72B25"/>
    <w:rsid w:val="00B72D22"/>
    <w:rsid w:val="00B76A09"/>
    <w:rsid w:val="00B76C0F"/>
    <w:rsid w:val="00B76FF8"/>
    <w:rsid w:val="00B77635"/>
    <w:rsid w:val="00B836E2"/>
    <w:rsid w:val="00B905AA"/>
    <w:rsid w:val="00B916E1"/>
    <w:rsid w:val="00B91A17"/>
    <w:rsid w:val="00B92426"/>
    <w:rsid w:val="00BA2AE0"/>
    <w:rsid w:val="00BA3EDD"/>
    <w:rsid w:val="00BA5A43"/>
    <w:rsid w:val="00BA7773"/>
    <w:rsid w:val="00BB0790"/>
    <w:rsid w:val="00BB4DB2"/>
    <w:rsid w:val="00BB59BA"/>
    <w:rsid w:val="00BB637E"/>
    <w:rsid w:val="00BC053B"/>
    <w:rsid w:val="00BC1C3F"/>
    <w:rsid w:val="00BC4622"/>
    <w:rsid w:val="00BC7DD9"/>
    <w:rsid w:val="00BD04D0"/>
    <w:rsid w:val="00BD4C6C"/>
    <w:rsid w:val="00BE077C"/>
    <w:rsid w:val="00BE0B31"/>
    <w:rsid w:val="00BE4927"/>
    <w:rsid w:val="00BE6B8F"/>
    <w:rsid w:val="00BF3D76"/>
    <w:rsid w:val="00BF3D9E"/>
    <w:rsid w:val="00BF4D93"/>
    <w:rsid w:val="00BF7102"/>
    <w:rsid w:val="00C00E96"/>
    <w:rsid w:val="00C028A5"/>
    <w:rsid w:val="00C042B2"/>
    <w:rsid w:val="00C04ECB"/>
    <w:rsid w:val="00C123C6"/>
    <w:rsid w:val="00C12D06"/>
    <w:rsid w:val="00C139D0"/>
    <w:rsid w:val="00C14AE1"/>
    <w:rsid w:val="00C26F89"/>
    <w:rsid w:val="00C2720B"/>
    <w:rsid w:val="00C27DF7"/>
    <w:rsid w:val="00C3393F"/>
    <w:rsid w:val="00C33C13"/>
    <w:rsid w:val="00C4031B"/>
    <w:rsid w:val="00C458A3"/>
    <w:rsid w:val="00C45B52"/>
    <w:rsid w:val="00C47197"/>
    <w:rsid w:val="00C50060"/>
    <w:rsid w:val="00C51876"/>
    <w:rsid w:val="00C52C23"/>
    <w:rsid w:val="00C53B1F"/>
    <w:rsid w:val="00C54304"/>
    <w:rsid w:val="00C546C6"/>
    <w:rsid w:val="00C54878"/>
    <w:rsid w:val="00C557E5"/>
    <w:rsid w:val="00C62D03"/>
    <w:rsid w:val="00C63436"/>
    <w:rsid w:val="00C704DA"/>
    <w:rsid w:val="00C70776"/>
    <w:rsid w:val="00C70FB0"/>
    <w:rsid w:val="00C72954"/>
    <w:rsid w:val="00C74081"/>
    <w:rsid w:val="00C760C5"/>
    <w:rsid w:val="00C762E6"/>
    <w:rsid w:val="00C763FE"/>
    <w:rsid w:val="00C80126"/>
    <w:rsid w:val="00C81AAD"/>
    <w:rsid w:val="00C83365"/>
    <w:rsid w:val="00C9271A"/>
    <w:rsid w:val="00C92D2C"/>
    <w:rsid w:val="00C93CFE"/>
    <w:rsid w:val="00C93DD9"/>
    <w:rsid w:val="00C9451F"/>
    <w:rsid w:val="00C96CCB"/>
    <w:rsid w:val="00CA0948"/>
    <w:rsid w:val="00CA50DB"/>
    <w:rsid w:val="00CA58E9"/>
    <w:rsid w:val="00CA69DA"/>
    <w:rsid w:val="00CA6F12"/>
    <w:rsid w:val="00CA73D8"/>
    <w:rsid w:val="00CB39CF"/>
    <w:rsid w:val="00CB40CA"/>
    <w:rsid w:val="00CB5021"/>
    <w:rsid w:val="00CB5614"/>
    <w:rsid w:val="00CB572B"/>
    <w:rsid w:val="00CB668E"/>
    <w:rsid w:val="00CB6FF1"/>
    <w:rsid w:val="00CC02EB"/>
    <w:rsid w:val="00CD4ABE"/>
    <w:rsid w:val="00CD7247"/>
    <w:rsid w:val="00CE20F7"/>
    <w:rsid w:val="00CE2FEC"/>
    <w:rsid w:val="00CE462B"/>
    <w:rsid w:val="00CF1192"/>
    <w:rsid w:val="00CF2C71"/>
    <w:rsid w:val="00D00320"/>
    <w:rsid w:val="00D01B39"/>
    <w:rsid w:val="00D01D21"/>
    <w:rsid w:val="00D04459"/>
    <w:rsid w:val="00D04571"/>
    <w:rsid w:val="00D04737"/>
    <w:rsid w:val="00D059E0"/>
    <w:rsid w:val="00D06EE9"/>
    <w:rsid w:val="00D10BA2"/>
    <w:rsid w:val="00D127DA"/>
    <w:rsid w:val="00D24FAD"/>
    <w:rsid w:val="00D261BE"/>
    <w:rsid w:val="00D2661E"/>
    <w:rsid w:val="00D27463"/>
    <w:rsid w:val="00D3351E"/>
    <w:rsid w:val="00D34203"/>
    <w:rsid w:val="00D347B1"/>
    <w:rsid w:val="00D34A80"/>
    <w:rsid w:val="00D36385"/>
    <w:rsid w:val="00D410FD"/>
    <w:rsid w:val="00D436F7"/>
    <w:rsid w:val="00D45E62"/>
    <w:rsid w:val="00D5357E"/>
    <w:rsid w:val="00D545A4"/>
    <w:rsid w:val="00D546BF"/>
    <w:rsid w:val="00D570C2"/>
    <w:rsid w:val="00D60618"/>
    <w:rsid w:val="00D61340"/>
    <w:rsid w:val="00D616CF"/>
    <w:rsid w:val="00D64F7C"/>
    <w:rsid w:val="00D67143"/>
    <w:rsid w:val="00D72154"/>
    <w:rsid w:val="00D730B6"/>
    <w:rsid w:val="00D77EF9"/>
    <w:rsid w:val="00D8270A"/>
    <w:rsid w:val="00D82A4C"/>
    <w:rsid w:val="00D83967"/>
    <w:rsid w:val="00D84D76"/>
    <w:rsid w:val="00D8551F"/>
    <w:rsid w:val="00D86976"/>
    <w:rsid w:val="00D8798A"/>
    <w:rsid w:val="00D91073"/>
    <w:rsid w:val="00D91724"/>
    <w:rsid w:val="00D94CF7"/>
    <w:rsid w:val="00D964F7"/>
    <w:rsid w:val="00DA01D5"/>
    <w:rsid w:val="00DA0B7F"/>
    <w:rsid w:val="00DA162D"/>
    <w:rsid w:val="00DB0CE1"/>
    <w:rsid w:val="00DB768B"/>
    <w:rsid w:val="00DC098D"/>
    <w:rsid w:val="00DC0F1F"/>
    <w:rsid w:val="00DC2D38"/>
    <w:rsid w:val="00DC34E2"/>
    <w:rsid w:val="00DC6699"/>
    <w:rsid w:val="00DD0C32"/>
    <w:rsid w:val="00DD59FD"/>
    <w:rsid w:val="00DD68B5"/>
    <w:rsid w:val="00DD7320"/>
    <w:rsid w:val="00DE1A97"/>
    <w:rsid w:val="00DE2854"/>
    <w:rsid w:val="00DE3C9F"/>
    <w:rsid w:val="00DE5C76"/>
    <w:rsid w:val="00DF14D6"/>
    <w:rsid w:val="00DF4E8C"/>
    <w:rsid w:val="00DF638B"/>
    <w:rsid w:val="00E00040"/>
    <w:rsid w:val="00E01BEE"/>
    <w:rsid w:val="00E025BB"/>
    <w:rsid w:val="00E1137E"/>
    <w:rsid w:val="00E1165B"/>
    <w:rsid w:val="00E20245"/>
    <w:rsid w:val="00E2233F"/>
    <w:rsid w:val="00E225E3"/>
    <w:rsid w:val="00E267A0"/>
    <w:rsid w:val="00E3405C"/>
    <w:rsid w:val="00E36A00"/>
    <w:rsid w:val="00E377F2"/>
    <w:rsid w:val="00E43BE8"/>
    <w:rsid w:val="00E46DCF"/>
    <w:rsid w:val="00E47E47"/>
    <w:rsid w:val="00E50C6F"/>
    <w:rsid w:val="00E52B7F"/>
    <w:rsid w:val="00E53259"/>
    <w:rsid w:val="00E54B71"/>
    <w:rsid w:val="00E54FE8"/>
    <w:rsid w:val="00E55BE3"/>
    <w:rsid w:val="00E561E5"/>
    <w:rsid w:val="00E6179A"/>
    <w:rsid w:val="00E61D8D"/>
    <w:rsid w:val="00E62C2C"/>
    <w:rsid w:val="00E6722F"/>
    <w:rsid w:val="00E705BC"/>
    <w:rsid w:val="00E730F8"/>
    <w:rsid w:val="00E76C4B"/>
    <w:rsid w:val="00E772EE"/>
    <w:rsid w:val="00E828A5"/>
    <w:rsid w:val="00E8432C"/>
    <w:rsid w:val="00E85458"/>
    <w:rsid w:val="00E85707"/>
    <w:rsid w:val="00E90915"/>
    <w:rsid w:val="00E90E90"/>
    <w:rsid w:val="00E93173"/>
    <w:rsid w:val="00E952F0"/>
    <w:rsid w:val="00E96D53"/>
    <w:rsid w:val="00E975E5"/>
    <w:rsid w:val="00EA178E"/>
    <w:rsid w:val="00EA29E4"/>
    <w:rsid w:val="00EA3991"/>
    <w:rsid w:val="00EA3F74"/>
    <w:rsid w:val="00EA4A86"/>
    <w:rsid w:val="00EB4C9C"/>
    <w:rsid w:val="00EB59CE"/>
    <w:rsid w:val="00EB7192"/>
    <w:rsid w:val="00EC17DD"/>
    <w:rsid w:val="00EC4614"/>
    <w:rsid w:val="00EC4C53"/>
    <w:rsid w:val="00EC61AB"/>
    <w:rsid w:val="00ED0A23"/>
    <w:rsid w:val="00ED1922"/>
    <w:rsid w:val="00ED2D30"/>
    <w:rsid w:val="00ED3C70"/>
    <w:rsid w:val="00ED4D2D"/>
    <w:rsid w:val="00ED5172"/>
    <w:rsid w:val="00ED762F"/>
    <w:rsid w:val="00EE0D32"/>
    <w:rsid w:val="00EE3D58"/>
    <w:rsid w:val="00EE7BA8"/>
    <w:rsid w:val="00EF0354"/>
    <w:rsid w:val="00EF1F4D"/>
    <w:rsid w:val="00EF5567"/>
    <w:rsid w:val="00F00E31"/>
    <w:rsid w:val="00F014D8"/>
    <w:rsid w:val="00F02DED"/>
    <w:rsid w:val="00F038ED"/>
    <w:rsid w:val="00F10609"/>
    <w:rsid w:val="00F144F7"/>
    <w:rsid w:val="00F1767B"/>
    <w:rsid w:val="00F17B30"/>
    <w:rsid w:val="00F239F0"/>
    <w:rsid w:val="00F24E04"/>
    <w:rsid w:val="00F267E2"/>
    <w:rsid w:val="00F279CA"/>
    <w:rsid w:val="00F27A80"/>
    <w:rsid w:val="00F30B09"/>
    <w:rsid w:val="00F314CF"/>
    <w:rsid w:val="00F36BF2"/>
    <w:rsid w:val="00F36F8F"/>
    <w:rsid w:val="00F37AE4"/>
    <w:rsid w:val="00F441F6"/>
    <w:rsid w:val="00F46E5A"/>
    <w:rsid w:val="00F53236"/>
    <w:rsid w:val="00F615C5"/>
    <w:rsid w:val="00F625A9"/>
    <w:rsid w:val="00F637B9"/>
    <w:rsid w:val="00F64F57"/>
    <w:rsid w:val="00F65E77"/>
    <w:rsid w:val="00F67104"/>
    <w:rsid w:val="00F67DF5"/>
    <w:rsid w:val="00F7018E"/>
    <w:rsid w:val="00F70486"/>
    <w:rsid w:val="00F7122F"/>
    <w:rsid w:val="00F71628"/>
    <w:rsid w:val="00F76279"/>
    <w:rsid w:val="00F7642D"/>
    <w:rsid w:val="00F76CD2"/>
    <w:rsid w:val="00F83B0D"/>
    <w:rsid w:val="00F84147"/>
    <w:rsid w:val="00F860E6"/>
    <w:rsid w:val="00F86690"/>
    <w:rsid w:val="00F905A9"/>
    <w:rsid w:val="00F92B48"/>
    <w:rsid w:val="00F94113"/>
    <w:rsid w:val="00F9484C"/>
    <w:rsid w:val="00F94F14"/>
    <w:rsid w:val="00F952E9"/>
    <w:rsid w:val="00FA3677"/>
    <w:rsid w:val="00FA518F"/>
    <w:rsid w:val="00FA6BA7"/>
    <w:rsid w:val="00FA6D27"/>
    <w:rsid w:val="00FA76F5"/>
    <w:rsid w:val="00FA7962"/>
    <w:rsid w:val="00FB1B3F"/>
    <w:rsid w:val="00FB5914"/>
    <w:rsid w:val="00FB654F"/>
    <w:rsid w:val="00FB7C1C"/>
    <w:rsid w:val="00FC2929"/>
    <w:rsid w:val="00FC2D86"/>
    <w:rsid w:val="00FC37AA"/>
    <w:rsid w:val="00FC49F3"/>
    <w:rsid w:val="00FC5233"/>
    <w:rsid w:val="00FC5BB9"/>
    <w:rsid w:val="00FD1BFF"/>
    <w:rsid w:val="00FD259D"/>
    <w:rsid w:val="00FD3B9B"/>
    <w:rsid w:val="00FD3CB5"/>
    <w:rsid w:val="00FD435C"/>
    <w:rsid w:val="00FD7AFD"/>
    <w:rsid w:val="00FD7B0E"/>
    <w:rsid w:val="00FE1065"/>
    <w:rsid w:val="00FE1991"/>
    <w:rsid w:val="00FE3679"/>
    <w:rsid w:val="00FE3FE5"/>
    <w:rsid w:val="00FE4488"/>
    <w:rsid w:val="00FE5092"/>
    <w:rsid w:val="00FF007A"/>
    <w:rsid w:val="00FF1030"/>
    <w:rsid w:val="00FF2A0E"/>
    <w:rsid w:val="00FF5CFB"/>
    <w:rsid w:val="00FF7705"/>
    <w:rsid w:val="00FF7F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3C16F"/>
  <w15:docId w15:val="{548F5098-F2A9-45ED-A7AE-2C244321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F14D6"/>
    <w:rPr>
      <w:rFonts w:ascii="Arial" w:hAnsi="Arial"/>
      <w:color w:val="333333"/>
      <w:sz w:val="18"/>
      <w:szCs w:val="18"/>
      <w:lang w:val="en-GB"/>
    </w:rPr>
  </w:style>
  <w:style w:type="paragraph" w:styleId="Titre1">
    <w:name w:val="heading 1"/>
    <w:basedOn w:val="Normal"/>
    <w:next w:val="Normal"/>
    <w:rsid w:val="003677BE"/>
    <w:pPr>
      <w:keepNext/>
      <w:numPr>
        <w:numId w:val="3"/>
      </w:numPr>
      <w:spacing w:before="240" w:after="240"/>
      <w:outlineLvl w:val="0"/>
    </w:pPr>
    <w:rPr>
      <w:rFonts w:cs="Arial"/>
      <w:b/>
      <w:bCs/>
      <w:sz w:val="32"/>
      <w:szCs w:val="32"/>
    </w:rPr>
  </w:style>
  <w:style w:type="paragraph" w:styleId="Titre2">
    <w:name w:val="heading 2"/>
    <w:basedOn w:val="Normal"/>
    <w:next w:val="Normal"/>
    <w:rsid w:val="003677BE"/>
    <w:pPr>
      <w:keepNext/>
      <w:numPr>
        <w:ilvl w:val="1"/>
        <w:numId w:val="3"/>
      </w:numPr>
      <w:spacing w:before="240" w:after="240"/>
      <w:outlineLvl w:val="1"/>
    </w:pPr>
    <w:rPr>
      <w:rFonts w:cs="Arial"/>
      <w:b/>
      <w:sz w:val="32"/>
      <w:szCs w:val="32"/>
    </w:rPr>
  </w:style>
  <w:style w:type="paragraph" w:styleId="Titre3">
    <w:name w:val="heading 3"/>
    <w:basedOn w:val="Normal"/>
    <w:next w:val="Normal"/>
    <w:link w:val="Titre3Car"/>
    <w:rsid w:val="003677BE"/>
    <w:pPr>
      <w:keepNext/>
      <w:numPr>
        <w:ilvl w:val="2"/>
        <w:numId w:val="3"/>
      </w:numPr>
      <w:outlineLvl w:val="2"/>
    </w:pPr>
    <w:rPr>
      <w:rFonts w:cs="Arial"/>
      <w:b/>
      <w:bCs/>
      <w:sz w:val="20"/>
      <w:szCs w:val="20"/>
    </w:rPr>
  </w:style>
  <w:style w:type="paragraph" w:styleId="Titre4">
    <w:name w:val="heading 4"/>
    <w:basedOn w:val="Normal"/>
    <w:next w:val="Normal"/>
    <w:rsid w:val="003677BE"/>
    <w:pPr>
      <w:keepNext/>
      <w:spacing w:before="240" w:after="60"/>
      <w:outlineLvl w:val="3"/>
    </w:pPr>
    <w:rPr>
      <w:b/>
      <w:bCs/>
      <w:sz w:val="20"/>
    </w:rPr>
  </w:style>
  <w:style w:type="paragraph" w:styleId="Titre5">
    <w:name w:val="heading 5"/>
    <w:basedOn w:val="Normal"/>
    <w:next w:val="Normal"/>
    <w:rsid w:val="00DF14D6"/>
    <w:pPr>
      <w:numPr>
        <w:ilvl w:val="4"/>
        <w:numId w:val="3"/>
      </w:numPr>
      <w:spacing w:before="240" w:after="60"/>
      <w:outlineLvl w:val="4"/>
    </w:pPr>
    <w:rPr>
      <w:b/>
      <w:bCs/>
      <w:i/>
      <w:iCs/>
      <w:sz w:val="26"/>
      <w:szCs w:val="26"/>
    </w:rPr>
  </w:style>
  <w:style w:type="paragraph" w:styleId="Titre6">
    <w:name w:val="heading 6"/>
    <w:basedOn w:val="Normal"/>
    <w:next w:val="Normal"/>
    <w:rsid w:val="00DF14D6"/>
    <w:pPr>
      <w:keepNext/>
      <w:numPr>
        <w:ilvl w:val="5"/>
        <w:numId w:val="3"/>
      </w:numPr>
      <w:spacing w:line="360" w:lineRule="auto"/>
      <w:outlineLvl w:val="5"/>
    </w:pPr>
    <w:rPr>
      <w:rFonts w:ascii="Interstate-Regular" w:hAnsi="Interstate-Regular"/>
      <w:b/>
      <w:bCs/>
      <w:lang w:val="en-US"/>
    </w:rPr>
  </w:style>
  <w:style w:type="paragraph" w:styleId="Titre7">
    <w:name w:val="heading 7"/>
    <w:basedOn w:val="Normal"/>
    <w:next w:val="Normal"/>
    <w:rsid w:val="00DF14D6"/>
    <w:pPr>
      <w:numPr>
        <w:ilvl w:val="6"/>
        <w:numId w:val="3"/>
      </w:numPr>
      <w:spacing w:before="240" w:after="60"/>
      <w:outlineLvl w:val="6"/>
    </w:pPr>
    <w:rPr>
      <w:rFonts w:ascii="Times New Roman" w:hAnsi="Times New Roman"/>
      <w:sz w:val="24"/>
      <w:szCs w:val="24"/>
    </w:rPr>
  </w:style>
  <w:style w:type="paragraph" w:styleId="Titre8">
    <w:name w:val="heading 8"/>
    <w:basedOn w:val="Normal"/>
    <w:next w:val="Normal"/>
    <w:rsid w:val="00DF14D6"/>
    <w:pPr>
      <w:numPr>
        <w:ilvl w:val="7"/>
        <w:numId w:val="3"/>
      </w:numPr>
      <w:spacing w:before="240" w:after="60"/>
      <w:outlineLvl w:val="7"/>
    </w:pPr>
    <w:rPr>
      <w:rFonts w:ascii="Times New Roman" w:hAnsi="Times New Roman"/>
      <w:i/>
      <w:iCs/>
      <w:sz w:val="24"/>
      <w:szCs w:val="24"/>
    </w:rPr>
  </w:style>
  <w:style w:type="paragraph" w:styleId="Titre9">
    <w:name w:val="heading 9"/>
    <w:basedOn w:val="Normal"/>
    <w:next w:val="Normal"/>
    <w:rsid w:val="00DF14D6"/>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677BE"/>
    <w:rPr>
      <w:rFonts w:ascii="Arial" w:hAnsi="Arial" w:cs="Arial"/>
      <w:b/>
      <w:bCs/>
      <w:color w:val="333333"/>
      <w:sz w:val="20"/>
      <w:szCs w:val="20"/>
      <w:lang w:val="en-GB"/>
    </w:rPr>
  </w:style>
  <w:style w:type="paragraph" w:styleId="Pieddepage">
    <w:name w:val="footer"/>
    <w:basedOn w:val="Paragraphtext"/>
    <w:rsid w:val="00F267E2"/>
    <w:pPr>
      <w:tabs>
        <w:tab w:val="center" w:pos="4153"/>
        <w:tab w:val="right" w:pos="8306"/>
      </w:tabs>
      <w:jc w:val="center"/>
    </w:pPr>
    <w:rPr>
      <w:color w:val="038E9A"/>
      <w:szCs w:val="16"/>
    </w:rPr>
  </w:style>
  <w:style w:type="character" w:styleId="Lienhypertexte">
    <w:name w:val="Hyperlink"/>
    <w:basedOn w:val="Lienhypertextesuivivisit"/>
    <w:uiPriority w:val="99"/>
    <w:rsid w:val="003677BE"/>
    <w:rPr>
      <w:rFonts w:ascii="Arial" w:hAnsi="Arial"/>
      <w:color w:val="333333"/>
      <w:sz w:val="18"/>
      <w:szCs w:val="18"/>
      <w:u w:val="single"/>
      <w:lang w:val="en-GB"/>
    </w:rPr>
  </w:style>
  <w:style w:type="character" w:styleId="Lienhypertextesuivivisit">
    <w:name w:val="FollowedHyperlink"/>
    <w:basedOn w:val="Policepardfaut"/>
    <w:rsid w:val="003677BE"/>
    <w:rPr>
      <w:rFonts w:ascii="Arial" w:hAnsi="Arial"/>
      <w:color w:val="333333"/>
      <w:sz w:val="18"/>
      <w:szCs w:val="18"/>
      <w:u w:val="single"/>
      <w:lang w:val="en-GB"/>
    </w:rPr>
  </w:style>
  <w:style w:type="paragraph" w:styleId="Listenumros2">
    <w:name w:val="List Number 2"/>
    <w:basedOn w:val="Normal"/>
    <w:semiHidden/>
    <w:rsid w:val="00775574"/>
    <w:pPr>
      <w:numPr>
        <w:numId w:val="2"/>
      </w:numPr>
      <w:tabs>
        <w:tab w:val="clear" w:pos="643"/>
        <w:tab w:val="num" w:pos="360"/>
      </w:tabs>
      <w:ind w:left="0" w:firstLine="0"/>
    </w:pPr>
  </w:style>
  <w:style w:type="paragraph" w:styleId="TM3">
    <w:name w:val="toc 3"/>
    <w:basedOn w:val="Normal"/>
    <w:next w:val="Normal"/>
    <w:autoRedefine/>
    <w:uiPriority w:val="39"/>
    <w:semiHidden/>
    <w:rsid w:val="00A2399D"/>
    <w:pPr>
      <w:tabs>
        <w:tab w:val="left" w:pos="1200"/>
        <w:tab w:val="right" w:leader="dot" w:pos="7740"/>
      </w:tabs>
      <w:ind w:left="360"/>
    </w:pPr>
  </w:style>
  <w:style w:type="table" w:styleId="Grilledutableau">
    <w:name w:val="Table Grid"/>
    <w:basedOn w:val="TableauNormal"/>
    <w:rsid w:val="00EB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F7E14"/>
    <w:rPr>
      <w:rFonts w:ascii="Tahoma" w:hAnsi="Tahoma" w:cs="Tahoma"/>
      <w:sz w:val="16"/>
      <w:szCs w:val="16"/>
    </w:rPr>
  </w:style>
  <w:style w:type="character" w:styleId="Numrodepage">
    <w:name w:val="page number"/>
    <w:basedOn w:val="Policepardfaut"/>
    <w:rsid w:val="00DF14D6"/>
    <w:rPr>
      <w:rFonts w:ascii="Arial" w:hAnsi="Arial"/>
      <w:color w:val="808080"/>
      <w:sz w:val="16"/>
      <w:szCs w:val="16"/>
    </w:rPr>
  </w:style>
  <w:style w:type="paragraph" w:styleId="TM1">
    <w:name w:val="toc 1"/>
    <w:basedOn w:val="Normal"/>
    <w:next w:val="Normal"/>
    <w:autoRedefine/>
    <w:uiPriority w:val="39"/>
    <w:semiHidden/>
    <w:rsid w:val="005857A6"/>
    <w:pPr>
      <w:tabs>
        <w:tab w:val="left" w:pos="360"/>
        <w:tab w:val="right" w:leader="dot" w:pos="8460"/>
      </w:tabs>
      <w:spacing w:line="480" w:lineRule="auto"/>
    </w:pPr>
    <w:rPr>
      <w:b/>
      <w:sz w:val="20"/>
      <w:szCs w:val="20"/>
    </w:rPr>
  </w:style>
  <w:style w:type="paragraph" w:styleId="TM2">
    <w:name w:val="toc 2"/>
    <w:basedOn w:val="Normal"/>
    <w:next w:val="Normal"/>
    <w:autoRedefine/>
    <w:uiPriority w:val="39"/>
    <w:semiHidden/>
    <w:rsid w:val="00623265"/>
    <w:pPr>
      <w:tabs>
        <w:tab w:val="left" w:pos="960"/>
        <w:tab w:val="right" w:leader="dot" w:pos="8460"/>
      </w:tabs>
      <w:ind w:left="360"/>
    </w:pPr>
  </w:style>
  <w:style w:type="numbering" w:styleId="111111">
    <w:name w:val="Outline List 2"/>
    <w:basedOn w:val="Aucuneliste"/>
    <w:semiHidden/>
    <w:rsid w:val="001917EA"/>
    <w:pPr>
      <w:numPr>
        <w:numId w:val="1"/>
      </w:numPr>
    </w:pPr>
  </w:style>
  <w:style w:type="character" w:styleId="Marquedecommentaire">
    <w:name w:val="annotation reference"/>
    <w:basedOn w:val="Policepardfaut"/>
    <w:uiPriority w:val="99"/>
    <w:semiHidden/>
    <w:rsid w:val="00340E4A"/>
    <w:rPr>
      <w:sz w:val="16"/>
      <w:szCs w:val="16"/>
    </w:rPr>
  </w:style>
  <w:style w:type="paragraph" w:styleId="Commentaire">
    <w:name w:val="annotation text"/>
    <w:basedOn w:val="Normal"/>
    <w:semiHidden/>
    <w:rsid w:val="00340E4A"/>
    <w:rPr>
      <w:sz w:val="20"/>
      <w:szCs w:val="20"/>
    </w:rPr>
  </w:style>
  <w:style w:type="paragraph" w:styleId="Objetducommentaire">
    <w:name w:val="annotation subject"/>
    <w:basedOn w:val="Commentaire"/>
    <w:next w:val="Commentaire"/>
    <w:semiHidden/>
    <w:rsid w:val="00340E4A"/>
    <w:rPr>
      <w:b/>
      <w:bCs/>
    </w:rPr>
  </w:style>
  <w:style w:type="paragraph" w:customStyle="1" w:styleId="ECF-Heading2">
    <w:name w:val="ECF-Heading 2"/>
    <w:basedOn w:val="ECF-Heading1"/>
    <w:next w:val="Titre2"/>
    <w:qFormat/>
    <w:rsid w:val="0093210A"/>
    <w:rPr>
      <w:color w:val="EFCE0C" w:themeColor="background2"/>
    </w:rPr>
  </w:style>
  <w:style w:type="paragraph" w:customStyle="1" w:styleId="Paragraph1">
    <w:name w:val="Paragraph 1"/>
    <w:basedOn w:val="Normal"/>
    <w:next w:val="Paragraphtext"/>
    <w:rsid w:val="00D059E0"/>
    <w:rPr>
      <w:rFonts w:ascii="Futura" w:hAnsi="Futura"/>
      <w:sz w:val="24"/>
      <w:lang w:val="en-US"/>
    </w:rPr>
  </w:style>
  <w:style w:type="paragraph" w:styleId="Paragraphedeliste">
    <w:name w:val="List Paragraph"/>
    <w:basedOn w:val="Normal"/>
    <w:uiPriority w:val="34"/>
    <w:rsid w:val="00A06FB8"/>
    <w:pPr>
      <w:ind w:left="720"/>
      <w:contextualSpacing/>
    </w:pPr>
  </w:style>
  <w:style w:type="character" w:customStyle="1" w:styleId="mw-headline">
    <w:name w:val="mw-headline"/>
    <w:basedOn w:val="Policepardfaut"/>
    <w:rsid w:val="00BC1C3F"/>
  </w:style>
  <w:style w:type="paragraph" w:customStyle="1" w:styleId="ECF-Heading1">
    <w:name w:val="ECF-Heading 1"/>
    <w:basedOn w:val="Normal"/>
    <w:next w:val="Paragraphtext"/>
    <w:link w:val="ECF-Heading1Char"/>
    <w:qFormat/>
    <w:rsid w:val="0093210A"/>
    <w:pPr>
      <w:tabs>
        <w:tab w:val="center" w:pos="4153"/>
        <w:tab w:val="right" w:pos="8306"/>
      </w:tabs>
      <w:spacing w:before="120" w:after="120"/>
    </w:pPr>
    <w:rPr>
      <w:rFonts w:ascii="FuturaBold Ro" w:hAnsi="FuturaBold Ro" w:cs="Arial"/>
      <w:bCs/>
      <w:color w:val="0092AA" w:themeColor="accent1"/>
      <w:spacing w:val="-22"/>
      <w:sz w:val="36"/>
      <w:szCs w:val="32"/>
    </w:rPr>
  </w:style>
  <w:style w:type="paragraph" w:customStyle="1" w:styleId="Paragraphtext">
    <w:name w:val="Paragraph text"/>
    <w:basedOn w:val="Normal"/>
    <w:link w:val="ParagraphtextChar"/>
    <w:qFormat/>
    <w:rsid w:val="00CE2FEC"/>
    <w:pPr>
      <w:spacing w:after="120"/>
      <w:contextualSpacing/>
      <w:jc w:val="both"/>
    </w:pPr>
    <w:rPr>
      <w:rFonts w:asciiTheme="minorHAnsi" w:hAnsiTheme="minorHAnsi"/>
      <w:color w:val="055068" w:themeColor="text1"/>
      <w:sz w:val="24"/>
      <w:lang w:val="en-US"/>
    </w:rPr>
  </w:style>
  <w:style w:type="paragraph" w:styleId="En-tte">
    <w:name w:val="header"/>
    <w:basedOn w:val="Normal"/>
    <w:link w:val="En-tteCar"/>
    <w:uiPriority w:val="99"/>
    <w:rsid w:val="00463145"/>
    <w:pPr>
      <w:tabs>
        <w:tab w:val="center" w:pos="4320"/>
        <w:tab w:val="right" w:pos="8640"/>
      </w:tabs>
    </w:pPr>
  </w:style>
  <w:style w:type="character" w:customStyle="1" w:styleId="En-tteCar">
    <w:name w:val="En-tête Car"/>
    <w:basedOn w:val="Policepardfaut"/>
    <w:link w:val="En-tte"/>
    <w:uiPriority w:val="99"/>
    <w:rsid w:val="00463145"/>
    <w:rPr>
      <w:rFonts w:ascii="Arial" w:hAnsi="Arial"/>
      <w:color w:val="333333"/>
      <w:sz w:val="18"/>
      <w:szCs w:val="18"/>
      <w:lang w:val="en-GB"/>
    </w:rPr>
  </w:style>
  <w:style w:type="paragraph" w:customStyle="1" w:styleId="IntroMEPBriefing">
    <w:name w:val="Intro MEP Briefing"/>
    <w:basedOn w:val="Normal"/>
    <w:link w:val="IntroMEPBriefingChar"/>
    <w:rsid w:val="00B47FC3"/>
    <w:pPr>
      <w:widowControl w:val="0"/>
      <w:autoSpaceDE w:val="0"/>
      <w:autoSpaceDN w:val="0"/>
      <w:adjustRightInd w:val="0"/>
      <w:spacing w:before="10"/>
      <w:ind w:left="1083" w:right="60"/>
      <w:jc w:val="both"/>
    </w:pPr>
    <w:rPr>
      <w:rFonts w:ascii="Corbel" w:hAnsi="Corbel"/>
      <w:color w:val="000000"/>
      <w:spacing w:val="-1"/>
      <w:sz w:val="24"/>
      <w:szCs w:val="24"/>
    </w:rPr>
  </w:style>
  <w:style w:type="paragraph" w:styleId="Notedefin">
    <w:name w:val="endnote text"/>
    <w:basedOn w:val="Normal"/>
    <w:link w:val="NotedefinCar"/>
    <w:uiPriority w:val="99"/>
    <w:unhideWhenUsed/>
    <w:rsid w:val="00B47FC3"/>
    <w:rPr>
      <w:rFonts w:ascii="Calibri" w:hAnsi="Calibri"/>
      <w:color w:val="auto"/>
      <w:sz w:val="20"/>
      <w:szCs w:val="20"/>
      <w:lang w:val="en-US"/>
    </w:rPr>
  </w:style>
  <w:style w:type="character" w:customStyle="1" w:styleId="NotedefinCar">
    <w:name w:val="Note de fin Car"/>
    <w:basedOn w:val="Policepardfaut"/>
    <w:link w:val="Notedefin"/>
    <w:uiPriority w:val="99"/>
    <w:rsid w:val="00B47FC3"/>
    <w:rPr>
      <w:rFonts w:ascii="Calibri" w:hAnsi="Calibri"/>
      <w:sz w:val="20"/>
      <w:szCs w:val="20"/>
    </w:rPr>
  </w:style>
  <w:style w:type="character" w:customStyle="1" w:styleId="IntroMEPBriefingChar">
    <w:name w:val="Intro MEP Briefing Char"/>
    <w:link w:val="IntroMEPBriefing"/>
    <w:rsid w:val="00B47FC3"/>
    <w:rPr>
      <w:rFonts w:ascii="Corbel" w:hAnsi="Corbel"/>
      <w:color w:val="000000"/>
      <w:spacing w:val="-1"/>
    </w:rPr>
  </w:style>
  <w:style w:type="character" w:styleId="Appeldenotedefin">
    <w:name w:val="endnote reference"/>
    <w:uiPriority w:val="99"/>
    <w:unhideWhenUsed/>
    <w:rsid w:val="00B47FC3"/>
    <w:rPr>
      <w:vertAlign w:val="superscript"/>
    </w:rPr>
  </w:style>
  <w:style w:type="character" w:styleId="Appelnotedebasdep">
    <w:name w:val="footnote reference"/>
    <w:uiPriority w:val="99"/>
    <w:rsid w:val="00B47FC3"/>
    <w:rPr>
      <w:rFonts w:cs="Times New Roman"/>
      <w:vertAlign w:val="superscript"/>
    </w:rPr>
  </w:style>
  <w:style w:type="paragraph" w:styleId="Listenumros">
    <w:name w:val="List Number"/>
    <w:basedOn w:val="Normal"/>
    <w:rsid w:val="009C743E"/>
    <w:pPr>
      <w:numPr>
        <w:numId w:val="4"/>
      </w:numPr>
      <w:contextualSpacing/>
    </w:pPr>
  </w:style>
  <w:style w:type="character" w:customStyle="1" w:styleId="apple-style-span">
    <w:name w:val="apple-style-span"/>
    <w:basedOn w:val="Policepardfaut"/>
    <w:rsid w:val="009C743E"/>
  </w:style>
  <w:style w:type="paragraph" w:styleId="Sansinterligne">
    <w:name w:val="No Spacing"/>
    <w:aliases w:val="Clear formatting"/>
    <w:link w:val="SansinterligneCar"/>
    <w:uiPriority w:val="1"/>
    <w:qFormat/>
    <w:rsid w:val="009C743E"/>
    <w:rPr>
      <w:rFonts w:ascii="Calibri" w:eastAsia="Calibri" w:hAnsi="Calibri"/>
      <w:sz w:val="22"/>
      <w:szCs w:val="22"/>
    </w:rPr>
  </w:style>
  <w:style w:type="character" w:customStyle="1" w:styleId="SansinterligneCar">
    <w:name w:val="Sans interligne Car"/>
    <w:aliases w:val="Clear formatting Car"/>
    <w:link w:val="Sansinterligne"/>
    <w:uiPriority w:val="1"/>
    <w:rsid w:val="009C743E"/>
    <w:rPr>
      <w:rFonts w:ascii="Calibri" w:eastAsia="Calibri" w:hAnsi="Calibri"/>
      <w:sz w:val="22"/>
      <w:szCs w:val="22"/>
    </w:rPr>
  </w:style>
  <w:style w:type="paragraph" w:styleId="Listepuces">
    <w:name w:val="List Bullet"/>
    <w:basedOn w:val="Normal"/>
    <w:rsid w:val="009C743E"/>
    <w:pPr>
      <w:numPr>
        <w:numId w:val="5"/>
      </w:numPr>
      <w:spacing w:before="120" w:after="120"/>
      <w:jc w:val="both"/>
    </w:pPr>
    <w:rPr>
      <w:rFonts w:ascii="Times New Roman" w:hAnsi="Times New Roman"/>
      <w:color w:val="auto"/>
      <w:sz w:val="24"/>
      <w:szCs w:val="24"/>
      <w:lang w:eastAsia="de-DE"/>
    </w:rPr>
  </w:style>
  <w:style w:type="paragraph" w:customStyle="1" w:styleId="Endnotes">
    <w:name w:val="Endnotes"/>
    <w:basedOn w:val="Normal"/>
    <w:link w:val="EndnotesChar"/>
    <w:qFormat/>
    <w:rsid w:val="00D616CF"/>
    <w:pPr>
      <w:widowControl w:val="0"/>
      <w:autoSpaceDE w:val="0"/>
      <w:autoSpaceDN w:val="0"/>
      <w:adjustRightInd w:val="0"/>
      <w:spacing w:line="226" w:lineRule="exact"/>
      <w:ind w:left="119" w:right="-26"/>
      <w:jc w:val="both"/>
    </w:pPr>
    <w:rPr>
      <w:rFonts w:ascii="Futura Lt BT" w:hAnsi="Futura Lt BT"/>
      <w:color w:val="808080" w:themeColor="background1" w:themeShade="80"/>
      <w:spacing w:val="2"/>
      <w:position w:val="1"/>
      <w:sz w:val="16"/>
      <w:szCs w:val="20"/>
    </w:rPr>
  </w:style>
  <w:style w:type="character" w:customStyle="1" w:styleId="EndnotesChar">
    <w:name w:val="Endnotes Char"/>
    <w:link w:val="Endnotes"/>
    <w:rsid w:val="00D616CF"/>
    <w:rPr>
      <w:rFonts w:ascii="Futura Lt BT" w:hAnsi="Futura Lt BT"/>
      <w:color w:val="808080" w:themeColor="background1" w:themeShade="80"/>
      <w:spacing w:val="2"/>
      <w:position w:val="1"/>
      <w:sz w:val="16"/>
      <w:szCs w:val="20"/>
    </w:rPr>
  </w:style>
  <w:style w:type="paragraph" w:customStyle="1" w:styleId="ECFItalics">
    <w:name w:val="ECF Italics"/>
    <w:basedOn w:val="ECF-Heading1"/>
    <w:link w:val="ECFItalicsChar"/>
    <w:rsid w:val="009C743E"/>
  </w:style>
  <w:style w:type="paragraph" w:customStyle="1" w:styleId="ECFboldtext">
    <w:name w:val="ECF_bold text"/>
    <w:basedOn w:val="Normal"/>
    <w:link w:val="ECFboldtextChar"/>
    <w:qFormat/>
    <w:rsid w:val="00CE2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heme="majorHAnsi" w:hAnsiTheme="majorHAnsi" w:cs="Futura"/>
      <w:color w:val="0092AA" w:themeColor="accent1"/>
      <w:sz w:val="24"/>
      <w:szCs w:val="24"/>
      <w:lang w:val="en-US"/>
    </w:rPr>
  </w:style>
  <w:style w:type="character" w:customStyle="1" w:styleId="ECF-Heading1Char">
    <w:name w:val="ECF-Heading 1 Char"/>
    <w:basedOn w:val="Policepardfaut"/>
    <w:link w:val="ECF-Heading1"/>
    <w:rsid w:val="0093210A"/>
    <w:rPr>
      <w:rFonts w:ascii="FuturaBold Ro" w:hAnsi="FuturaBold Ro" w:cs="Arial"/>
      <w:bCs/>
      <w:color w:val="0092AA" w:themeColor="accent1"/>
      <w:spacing w:val="-22"/>
      <w:sz w:val="36"/>
      <w:szCs w:val="32"/>
      <w:lang w:val="en-GB"/>
    </w:rPr>
  </w:style>
  <w:style w:type="character" w:customStyle="1" w:styleId="ECFItalicsChar">
    <w:name w:val="ECF Italics Char"/>
    <w:basedOn w:val="ECF-Heading1Char"/>
    <w:link w:val="ECFItalics"/>
    <w:rsid w:val="009C743E"/>
    <w:rPr>
      <w:rFonts w:ascii="Futura Lt BT" w:hAnsi="Futura Lt BT" w:cs="Arial"/>
      <w:bCs/>
      <w:color w:val="038E9A"/>
      <w:spacing w:val="-22"/>
      <w:sz w:val="36"/>
      <w:szCs w:val="32"/>
      <w:lang w:val="en-GB"/>
    </w:rPr>
  </w:style>
  <w:style w:type="character" w:customStyle="1" w:styleId="ECFboldtextChar">
    <w:name w:val="ECF_bold text Char"/>
    <w:basedOn w:val="Policepardfaut"/>
    <w:link w:val="ECFboldtext"/>
    <w:rsid w:val="00CE2FEC"/>
    <w:rPr>
      <w:rFonts w:asciiTheme="majorHAnsi" w:hAnsiTheme="majorHAnsi" w:cs="Futura"/>
      <w:color w:val="0092AA" w:themeColor="accent1"/>
    </w:rPr>
  </w:style>
  <w:style w:type="paragraph" w:customStyle="1" w:styleId="TextboxStyle">
    <w:name w:val="Text box Style"/>
    <w:basedOn w:val="Normal"/>
    <w:link w:val="TextboxStyleChar"/>
    <w:qFormat/>
    <w:rsid w:val="00CE2FEC"/>
    <w:pPr>
      <w:shd w:val="clear" w:color="auto" w:fill="B1CB31" w:themeFill="accent2"/>
      <w:jc w:val="both"/>
    </w:pPr>
    <w:rPr>
      <w:rFonts w:ascii="Futura Lt BT" w:hAnsi="Futura Lt BT" w:cs="Arial"/>
      <w:color w:val="FFFFFF" w:themeColor="background1"/>
      <w:sz w:val="24"/>
      <w:szCs w:val="24"/>
    </w:rPr>
  </w:style>
  <w:style w:type="paragraph" w:customStyle="1" w:styleId="H2">
    <w:name w:val="H2"/>
    <w:basedOn w:val="Normal"/>
    <w:next w:val="Titre2"/>
    <w:rsid w:val="00207354"/>
    <w:pPr>
      <w:tabs>
        <w:tab w:val="center" w:pos="4153"/>
        <w:tab w:val="right" w:pos="8306"/>
      </w:tabs>
    </w:pPr>
    <w:rPr>
      <w:rFonts w:ascii="Futura Lt BT" w:hAnsi="Futura Lt BT"/>
      <w:color w:val="038E9A"/>
      <w:sz w:val="32"/>
      <w:szCs w:val="32"/>
    </w:rPr>
  </w:style>
  <w:style w:type="character" w:customStyle="1" w:styleId="TextboxStyleChar">
    <w:name w:val="Text box Style Char"/>
    <w:basedOn w:val="Policepardfaut"/>
    <w:link w:val="TextboxStyle"/>
    <w:rsid w:val="00CE2FEC"/>
    <w:rPr>
      <w:rFonts w:ascii="Futura Lt BT" w:hAnsi="Futura Lt BT" w:cs="Arial"/>
      <w:color w:val="FFFFFF" w:themeColor="background1"/>
      <w:shd w:val="clear" w:color="auto" w:fill="B1CB31" w:themeFill="accent2"/>
      <w:lang w:val="en-GB"/>
    </w:rPr>
  </w:style>
  <w:style w:type="character" w:styleId="Textedelespacerserv">
    <w:name w:val="Placeholder Text"/>
    <w:basedOn w:val="Policepardfaut"/>
    <w:rsid w:val="004A2010"/>
    <w:rPr>
      <w:color w:val="808080"/>
    </w:rPr>
  </w:style>
  <w:style w:type="paragraph" w:customStyle="1" w:styleId="Bulletlist">
    <w:name w:val="Bullet list"/>
    <w:basedOn w:val="Paragraphtext"/>
    <w:link w:val="BulletlistChar"/>
    <w:qFormat/>
    <w:rsid w:val="00CE2FEC"/>
    <w:pPr>
      <w:numPr>
        <w:numId w:val="7"/>
      </w:numPr>
    </w:pPr>
  </w:style>
  <w:style w:type="paragraph" w:customStyle="1" w:styleId="Picturecaption">
    <w:name w:val="Picture caption"/>
    <w:basedOn w:val="Normal"/>
    <w:link w:val="PicturecaptionChar"/>
    <w:qFormat/>
    <w:rsid w:val="0009793C"/>
    <w:pPr>
      <w:ind w:left="360"/>
      <w:jc w:val="both"/>
    </w:pPr>
    <w:rPr>
      <w:rFonts w:asciiTheme="minorHAnsi" w:hAnsiTheme="minorHAnsi" w:cs="Arial"/>
      <w:color w:val="055068" w:themeColor="text1"/>
      <w:sz w:val="20"/>
      <w:szCs w:val="20"/>
    </w:rPr>
  </w:style>
  <w:style w:type="character" w:customStyle="1" w:styleId="ParagraphtextChar">
    <w:name w:val="Paragraph text Char"/>
    <w:basedOn w:val="Policepardfaut"/>
    <w:link w:val="Paragraphtext"/>
    <w:rsid w:val="00CE2FEC"/>
    <w:rPr>
      <w:rFonts w:asciiTheme="minorHAnsi" w:hAnsiTheme="minorHAnsi"/>
      <w:color w:val="055068" w:themeColor="text1"/>
      <w:szCs w:val="18"/>
    </w:rPr>
  </w:style>
  <w:style w:type="character" w:customStyle="1" w:styleId="BulletlistChar">
    <w:name w:val="Bullet list Char"/>
    <w:basedOn w:val="ParagraphtextChar"/>
    <w:link w:val="Bulletlist"/>
    <w:rsid w:val="00CE2FEC"/>
    <w:rPr>
      <w:rFonts w:asciiTheme="minorHAnsi" w:hAnsiTheme="minorHAnsi"/>
      <w:color w:val="055068" w:themeColor="text1"/>
      <w:szCs w:val="18"/>
    </w:rPr>
  </w:style>
  <w:style w:type="character" w:customStyle="1" w:styleId="PicturecaptionChar">
    <w:name w:val="Picture caption Char"/>
    <w:basedOn w:val="Policepardfaut"/>
    <w:link w:val="Picturecaption"/>
    <w:rsid w:val="0009793C"/>
    <w:rPr>
      <w:rFonts w:asciiTheme="minorHAnsi" w:hAnsiTheme="minorHAnsi" w:cs="Arial"/>
      <w:color w:val="055068" w:themeColor="text1"/>
      <w:sz w:val="20"/>
      <w:szCs w:val="20"/>
      <w:lang w:val="en-GB"/>
    </w:rPr>
  </w:style>
  <w:style w:type="paragraph" w:customStyle="1" w:styleId="ECF-heading3">
    <w:name w:val="ECF-heading 3"/>
    <w:basedOn w:val="ECF-Heading2"/>
    <w:link w:val="ECF-heading3Char"/>
    <w:qFormat/>
    <w:rsid w:val="00CE2FEC"/>
    <w:rPr>
      <w:color w:val="B1CB31" w:themeColor="accent2"/>
      <w:sz w:val="28"/>
      <w:szCs w:val="28"/>
    </w:rPr>
  </w:style>
  <w:style w:type="character" w:customStyle="1" w:styleId="ECF-heading3Char">
    <w:name w:val="ECF-heading 3 Char"/>
    <w:basedOn w:val="ECFboldtextChar"/>
    <w:link w:val="ECF-heading3"/>
    <w:rsid w:val="00CE2FEC"/>
    <w:rPr>
      <w:rFonts w:ascii="FuturaBold Ro" w:hAnsi="FuturaBold Ro" w:cs="Arial"/>
      <w:bCs/>
      <w:color w:val="B1CB31" w:themeColor="accent2"/>
      <w:spacing w:val="-22"/>
      <w:sz w:val="28"/>
      <w:szCs w:val="28"/>
      <w:lang w:val="en-GB"/>
    </w:rPr>
  </w:style>
  <w:style w:type="character" w:styleId="Accentuation">
    <w:name w:val="Emphasis"/>
    <w:basedOn w:val="Policepardfaut"/>
    <w:uiPriority w:val="20"/>
    <w:qFormat/>
    <w:rsid w:val="000C0929"/>
    <w:rPr>
      <w:iCs/>
      <w:color w:val="EFCE0C" w:themeColor="background2"/>
    </w:rPr>
  </w:style>
  <w:style w:type="paragraph" w:customStyle="1" w:styleId="LEVEL1">
    <w:name w:val="LEVEL1"/>
    <w:basedOn w:val="ECF-Heading1"/>
    <w:link w:val="LEVEL1Char"/>
    <w:qFormat/>
    <w:rsid w:val="00127B2D"/>
    <w:pPr>
      <w:numPr>
        <w:numId w:val="6"/>
      </w:numPr>
    </w:pPr>
  </w:style>
  <w:style w:type="paragraph" w:customStyle="1" w:styleId="LEVEL2">
    <w:name w:val="LEVEL2"/>
    <w:basedOn w:val="LEVEL1"/>
    <w:link w:val="LEVEL2Char"/>
    <w:qFormat/>
    <w:rsid w:val="00320936"/>
    <w:pPr>
      <w:numPr>
        <w:ilvl w:val="1"/>
      </w:numPr>
      <w:tabs>
        <w:tab w:val="clear" w:pos="4153"/>
        <w:tab w:val="center" w:pos="1080"/>
      </w:tabs>
    </w:pPr>
    <w:rPr>
      <w:color w:val="EFCE0C" w:themeColor="background2"/>
      <w:sz w:val="32"/>
    </w:rPr>
  </w:style>
  <w:style w:type="character" w:customStyle="1" w:styleId="LEVEL1Char">
    <w:name w:val="LEVEL1 Char"/>
    <w:basedOn w:val="ECF-Heading1Char"/>
    <w:link w:val="LEVEL1"/>
    <w:rsid w:val="00127B2D"/>
    <w:rPr>
      <w:rFonts w:ascii="FuturaBold Ro" w:hAnsi="FuturaBold Ro" w:cs="Arial"/>
      <w:bCs/>
      <w:color w:val="0092AA" w:themeColor="accent1"/>
      <w:spacing w:val="-22"/>
      <w:sz w:val="36"/>
      <w:szCs w:val="32"/>
      <w:lang w:val="en-GB"/>
    </w:rPr>
  </w:style>
  <w:style w:type="paragraph" w:customStyle="1" w:styleId="LEVEL3">
    <w:name w:val="LEVEL3"/>
    <w:basedOn w:val="LEVEL2"/>
    <w:link w:val="LEVEL3Char"/>
    <w:qFormat/>
    <w:rsid w:val="00320936"/>
    <w:pPr>
      <w:numPr>
        <w:ilvl w:val="2"/>
      </w:numPr>
      <w:tabs>
        <w:tab w:val="clear" w:pos="1080"/>
        <w:tab w:val="center" w:pos="1620"/>
      </w:tabs>
    </w:pPr>
    <w:rPr>
      <w:color w:val="B1CB31" w:themeColor="accent2"/>
      <w:sz w:val="28"/>
      <w:szCs w:val="28"/>
    </w:rPr>
  </w:style>
  <w:style w:type="character" w:customStyle="1" w:styleId="LEVEL2Char">
    <w:name w:val="LEVEL2 Char"/>
    <w:basedOn w:val="LEVEL1Char"/>
    <w:link w:val="LEVEL2"/>
    <w:rsid w:val="00320936"/>
    <w:rPr>
      <w:rFonts w:ascii="FuturaBold Ro" w:hAnsi="FuturaBold Ro" w:cs="Arial"/>
      <w:bCs/>
      <w:color w:val="EFCE0C" w:themeColor="background2"/>
      <w:spacing w:val="-22"/>
      <w:sz w:val="32"/>
      <w:szCs w:val="32"/>
      <w:lang w:val="en-GB"/>
    </w:rPr>
  </w:style>
  <w:style w:type="paragraph" w:customStyle="1" w:styleId="LEVEL4">
    <w:name w:val="LEVEL4"/>
    <w:basedOn w:val="LEVEL3"/>
    <w:link w:val="LEVEL4Char"/>
    <w:qFormat/>
    <w:rsid w:val="00320936"/>
    <w:pPr>
      <w:numPr>
        <w:ilvl w:val="3"/>
      </w:numPr>
      <w:tabs>
        <w:tab w:val="clear" w:pos="1620"/>
        <w:tab w:val="center" w:pos="2160"/>
      </w:tabs>
    </w:pPr>
    <w:rPr>
      <w:color w:val="B31F3B" w:themeColor="accent5"/>
      <w:sz w:val="24"/>
      <w:szCs w:val="24"/>
    </w:rPr>
  </w:style>
  <w:style w:type="character" w:customStyle="1" w:styleId="LEVEL3Char">
    <w:name w:val="LEVEL3 Char"/>
    <w:basedOn w:val="LEVEL2Char"/>
    <w:link w:val="LEVEL3"/>
    <w:rsid w:val="00320936"/>
    <w:rPr>
      <w:rFonts w:ascii="FuturaBold Ro" w:hAnsi="FuturaBold Ro" w:cs="Arial"/>
      <w:bCs/>
      <w:color w:val="B1CB31" w:themeColor="accent2"/>
      <w:spacing w:val="-22"/>
      <w:sz w:val="28"/>
      <w:szCs w:val="28"/>
      <w:lang w:val="en-GB"/>
    </w:rPr>
  </w:style>
  <w:style w:type="character" w:customStyle="1" w:styleId="LEVEL4Char">
    <w:name w:val="LEVEL4 Char"/>
    <w:basedOn w:val="LEVEL3Char"/>
    <w:link w:val="LEVEL4"/>
    <w:rsid w:val="00320936"/>
    <w:rPr>
      <w:rFonts w:ascii="FuturaBold Ro" w:hAnsi="FuturaBold Ro" w:cs="Arial"/>
      <w:bCs/>
      <w:color w:val="B31F3B" w:themeColor="accent5"/>
      <w:spacing w:val="-22"/>
      <w:sz w:val="28"/>
      <w:szCs w:val="28"/>
      <w:lang w:val="en-GB"/>
    </w:rPr>
  </w:style>
  <w:style w:type="paragraph" w:styleId="Notedebasdepage">
    <w:name w:val="footnote text"/>
    <w:basedOn w:val="Normal"/>
    <w:link w:val="NotedebasdepageCar"/>
    <w:uiPriority w:val="99"/>
    <w:rsid w:val="00B76FF8"/>
    <w:rPr>
      <w:sz w:val="20"/>
      <w:szCs w:val="20"/>
    </w:rPr>
  </w:style>
  <w:style w:type="character" w:customStyle="1" w:styleId="NotedebasdepageCar">
    <w:name w:val="Note de bas de page Car"/>
    <w:basedOn w:val="Policepardfaut"/>
    <w:link w:val="Notedebasdepage"/>
    <w:uiPriority w:val="99"/>
    <w:rsid w:val="00B76FF8"/>
    <w:rPr>
      <w:rFonts w:ascii="Arial" w:hAnsi="Arial"/>
      <w:color w:val="333333"/>
      <w:sz w:val="20"/>
      <w:szCs w:val="20"/>
      <w:lang w:val="en-GB"/>
    </w:rPr>
  </w:style>
  <w:style w:type="paragraph" w:customStyle="1" w:styleId="ECF-List">
    <w:name w:val="ECF-List"/>
    <w:basedOn w:val="Normal"/>
    <w:qFormat/>
    <w:rsid w:val="00206C8A"/>
    <w:pPr>
      <w:spacing w:after="120"/>
      <w:ind w:left="720" w:hanging="360"/>
      <w:contextualSpacing/>
      <w:jc w:val="both"/>
    </w:pPr>
    <w:rPr>
      <w:rFonts w:ascii="Futura Lt BT" w:hAnsi="Futura Lt BT"/>
      <w:sz w:val="24"/>
      <w:lang w:val="en-US"/>
    </w:rPr>
  </w:style>
  <w:style w:type="table" w:customStyle="1" w:styleId="GridTable4-Accent31">
    <w:name w:val="Grid Table 4 - Accent 31"/>
    <w:basedOn w:val="TableauNormal"/>
    <w:uiPriority w:val="49"/>
    <w:rsid w:val="00CE2FEC"/>
    <w:tblPr>
      <w:tblStyleRowBandSize w:val="1"/>
      <w:tblStyleColBandSize w:val="1"/>
      <w:tblBorders>
        <w:top w:val="single" w:sz="4" w:space="0" w:color="F7E26A" w:themeColor="accent3" w:themeTint="99"/>
        <w:left w:val="single" w:sz="4" w:space="0" w:color="F7E26A" w:themeColor="accent3" w:themeTint="99"/>
        <w:bottom w:val="single" w:sz="4" w:space="0" w:color="F7E26A" w:themeColor="accent3" w:themeTint="99"/>
        <w:right w:val="single" w:sz="4" w:space="0" w:color="F7E26A" w:themeColor="accent3" w:themeTint="99"/>
        <w:insideH w:val="single" w:sz="4" w:space="0" w:color="F7E26A" w:themeColor="accent3" w:themeTint="99"/>
        <w:insideV w:val="single" w:sz="4" w:space="0" w:color="F7E26A" w:themeColor="accent3" w:themeTint="99"/>
      </w:tblBorders>
    </w:tblPr>
    <w:tblStylePr w:type="firstRow">
      <w:rPr>
        <w:b/>
        <w:bCs/>
        <w:color w:val="FFFFFF" w:themeColor="background1"/>
      </w:rPr>
      <w:tblPr/>
      <w:tcPr>
        <w:tcBorders>
          <w:top w:val="single" w:sz="4" w:space="0" w:color="EFCE0C" w:themeColor="accent3"/>
          <w:left w:val="single" w:sz="4" w:space="0" w:color="EFCE0C" w:themeColor="accent3"/>
          <w:bottom w:val="single" w:sz="4" w:space="0" w:color="EFCE0C" w:themeColor="accent3"/>
          <w:right w:val="single" w:sz="4" w:space="0" w:color="EFCE0C" w:themeColor="accent3"/>
          <w:insideH w:val="nil"/>
          <w:insideV w:val="nil"/>
        </w:tcBorders>
        <w:shd w:val="clear" w:color="auto" w:fill="EFCE0C" w:themeFill="accent3"/>
      </w:tcPr>
    </w:tblStylePr>
    <w:tblStylePr w:type="lastRow">
      <w:rPr>
        <w:b/>
        <w:bCs/>
      </w:rPr>
      <w:tblPr/>
      <w:tcPr>
        <w:tcBorders>
          <w:top w:val="double" w:sz="4" w:space="0" w:color="EFCE0C" w:themeColor="accent3"/>
        </w:tcBorders>
      </w:tcPr>
    </w:tblStylePr>
    <w:tblStylePr w:type="firstCol">
      <w:rPr>
        <w:b/>
        <w:bCs/>
      </w:rPr>
    </w:tblStylePr>
    <w:tblStylePr w:type="lastCol">
      <w:rPr>
        <w:b/>
        <w:bCs/>
      </w:rPr>
    </w:tblStylePr>
    <w:tblStylePr w:type="band1Vert">
      <w:tblPr/>
      <w:tcPr>
        <w:shd w:val="clear" w:color="auto" w:fill="FCF5CD" w:themeFill="accent3" w:themeFillTint="33"/>
      </w:tcPr>
    </w:tblStylePr>
    <w:tblStylePr w:type="band1Horz">
      <w:tblPr/>
      <w:tcPr>
        <w:shd w:val="clear" w:color="auto" w:fill="FCF5CD" w:themeFill="accent3" w:themeFillTint="33"/>
      </w:tcPr>
    </w:tblStylePr>
  </w:style>
  <w:style w:type="character" w:styleId="Mentionnonrsolue">
    <w:name w:val="Unresolved Mention"/>
    <w:basedOn w:val="Policepardfaut"/>
    <w:uiPriority w:val="99"/>
    <w:semiHidden/>
    <w:unhideWhenUsed/>
    <w:rsid w:val="003B48A3"/>
    <w:rPr>
      <w:color w:val="605E5C"/>
      <w:shd w:val="clear" w:color="auto" w:fill="E1DFDD"/>
    </w:rPr>
  </w:style>
  <w:style w:type="paragraph" w:styleId="Lgende">
    <w:name w:val="caption"/>
    <w:basedOn w:val="Normal"/>
    <w:next w:val="Normal"/>
    <w:unhideWhenUsed/>
    <w:rsid w:val="009F6224"/>
    <w:pPr>
      <w:spacing w:after="200"/>
    </w:pPr>
    <w:rPr>
      <w:i/>
      <w:iCs/>
      <w:color w:val="055068"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7365">
      <w:bodyDiv w:val="1"/>
      <w:marLeft w:val="0"/>
      <w:marRight w:val="0"/>
      <w:marTop w:val="0"/>
      <w:marBottom w:val="0"/>
      <w:divBdr>
        <w:top w:val="none" w:sz="0" w:space="0" w:color="auto"/>
        <w:left w:val="none" w:sz="0" w:space="0" w:color="auto"/>
        <w:bottom w:val="none" w:sz="0" w:space="0" w:color="auto"/>
        <w:right w:val="none" w:sz="0" w:space="0" w:color="auto"/>
      </w:divBdr>
    </w:div>
    <w:div w:id="188298662">
      <w:bodyDiv w:val="1"/>
      <w:marLeft w:val="0"/>
      <w:marRight w:val="0"/>
      <w:marTop w:val="0"/>
      <w:marBottom w:val="0"/>
      <w:divBdr>
        <w:top w:val="none" w:sz="0" w:space="0" w:color="auto"/>
        <w:left w:val="none" w:sz="0" w:space="0" w:color="auto"/>
        <w:bottom w:val="none" w:sz="0" w:space="0" w:color="auto"/>
        <w:right w:val="none" w:sz="0" w:space="0" w:color="auto"/>
      </w:divBdr>
    </w:div>
    <w:div w:id="243497937">
      <w:bodyDiv w:val="1"/>
      <w:marLeft w:val="0"/>
      <w:marRight w:val="0"/>
      <w:marTop w:val="0"/>
      <w:marBottom w:val="0"/>
      <w:divBdr>
        <w:top w:val="none" w:sz="0" w:space="0" w:color="auto"/>
        <w:left w:val="none" w:sz="0" w:space="0" w:color="auto"/>
        <w:bottom w:val="none" w:sz="0" w:space="0" w:color="auto"/>
        <w:right w:val="none" w:sz="0" w:space="0" w:color="auto"/>
      </w:divBdr>
      <w:divsChild>
        <w:div w:id="342586677">
          <w:marLeft w:val="0"/>
          <w:marRight w:val="0"/>
          <w:marTop w:val="0"/>
          <w:marBottom w:val="0"/>
          <w:divBdr>
            <w:top w:val="none" w:sz="0" w:space="0" w:color="auto"/>
            <w:left w:val="none" w:sz="0" w:space="0" w:color="auto"/>
            <w:bottom w:val="none" w:sz="0" w:space="0" w:color="auto"/>
            <w:right w:val="none" w:sz="0" w:space="0" w:color="auto"/>
          </w:divBdr>
        </w:div>
      </w:divsChild>
    </w:div>
    <w:div w:id="257101964">
      <w:bodyDiv w:val="1"/>
      <w:marLeft w:val="0"/>
      <w:marRight w:val="0"/>
      <w:marTop w:val="0"/>
      <w:marBottom w:val="0"/>
      <w:divBdr>
        <w:top w:val="none" w:sz="0" w:space="0" w:color="auto"/>
        <w:left w:val="none" w:sz="0" w:space="0" w:color="auto"/>
        <w:bottom w:val="none" w:sz="0" w:space="0" w:color="auto"/>
        <w:right w:val="none" w:sz="0" w:space="0" w:color="auto"/>
      </w:divBdr>
    </w:div>
    <w:div w:id="383918387">
      <w:bodyDiv w:val="1"/>
      <w:marLeft w:val="0"/>
      <w:marRight w:val="0"/>
      <w:marTop w:val="0"/>
      <w:marBottom w:val="0"/>
      <w:divBdr>
        <w:top w:val="none" w:sz="0" w:space="0" w:color="auto"/>
        <w:left w:val="none" w:sz="0" w:space="0" w:color="auto"/>
        <w:bottom w:val="none" w:sz="0" w:space="0" w:color="auto"/>
        <w:right w:val="none" w:sz="0" w:space="0" w:color="auto"/>
      </w:divBdr>
    </w:div>
    <w:div w:id="416177783">
      <w:bodyDiv w:val="1"/>
      <w:marLeft w:val="0"/>
      <w:marRight w:val="0"/>
      <w:marTop w:val="0"/>
      <w:marBottom w:val="0"/>
      <w:divBdr>
        <w:top w:val="none" w:sz="0" w:space="0" w:color="auto"/>
        <w:left w:val="none" w:sz="0" w:space="0" w:color="auto"/>
        <w:bottom w:val="none" w:sz="0" w:space="0" w:color="auto"/>
        <w:right w:val="none" w:sz="0" w:space="0" w:color="auto"/>
      </w:divBdr>
    </w:div>
    <w:div w:id="645666522">
      <w:bodyDiv w:val="1"/>
      <w:marLeft w:val="0"/>
      <w:marRight w:val="0"/>
      <w:marTop w:val="0"/>
      <w:marBottom w:val="0"/>
      <w:divBdr>
        <w:top w:val="none" w:sz="0" w:space="0" w:color="auto"/>
        <w:left w:val="none" w:sz="0" w:space="0" w:color="auto"/>
        <w:bottom w:val="none" w:sz="0" w:space="0" w:color="auto"/>
        <w:right w:val="none" w:sz="0" w:space="0" w:color="auto"/>
      </w:divBdr>
    </w:div>
    <w:div w:id="965625190">
      <w:bodyDiv w:val="1"/>
      <w:marLeft w:val="0"/>
      <w:marRight w:val="0"/>
      <w:marTop w:val="0"/>
      <w:marBottom w:val="0"/>
      <w:divBdr>
        <w:top w:val="none" w:sz="0" w:space="0" w:color="auto"/>
        <w:left w:val="none" w:sz="0" w:space="0" w:color="auto"/>
        <w:bottom w:val="none" w:sz="0" w:space="0" w:color="auto"/>
        <w:right w:val="none" w:sz="0" w:space="0" w:color="auto"/>
      </w:divBdr>
    </w:div>
    <w:div w:id="1051421369">
      <w:bodyDiv w:val="1"/>
      <w:marLeft w:val="0"/>
      <w:marRight w:val="0"/>
      <w:marTop w:val="0"/>
      <w:marBottom w:val="0"/>
      <w:divBdr>
        <w:top w:val="none" w:sz="0" w:space="0" w:color="auto"/>
        <w:left w:val="none" w:sz="0" w:space="0" w:color="auto"/>
        <w:bottom w:val="none" w:sz="0" w:space="0" w:color="auto"/>
        <w:right w:val="none" w:sz="0" w:space="0" w:color="auto"/>
      </w:divBdr>
    </w:div>
    <w:div w:id="1145663826">
      <w:bodyDiv w:val="1"/>
      <w:marLeft w:val="0"/>
      <w:marRight w:val="0"/>
      <w:marTop w:val="0"/>
      <w:marBottom w:val="0"/>
      <w:divBdr>
        <w:top w:val="none" w:sz="0" w:space="0" w:color="auto"/>
        <w:left w:val="none" w:sz="0" w:space="0" w:color="auto"/>
        <w:bottom w:val="none" w:sz="0" w:space="0" w:color="auto"/>
        <w:right w:val="none" w:sz="0" w:space="0" w:color="auto"/>
      </w:divBdr>
    </w:div>
    <w:div w:id="1199584388">
      <w:bodyDiv w:val="1"/>
      <w:marLeft w:val="0"/>
      <w:marRight w:val="0"/>
      <w:marTop w:val="0"/>
      <w:marBottom w:val="0"/>
      <w:divBdr>
        <w:top w:val="none" w:sz="0" w:space="0" w:color="auto"/>
        <w:left w:val="none" w:sz="0" w:space="0" w:color="auto"/>
        <w:bottom w:val="none" w:sz="0" w:space="0" w:color="auto"/>
        <w:right w:val="none" w:sz="0" w:space="0" w:color="auto"/>
      </w:divBdr>
    </w:div>
    <w:div w:id="1222792328">
      <w:bodyDiv w:val="1"/>
      <w:marLeft w:val="0"/>
      <w:marRight w:val="0"/>
      <w:marTop w:val="0"/>
      <w:marBottom w:val="0"/>
      <w:divBdr>
        <w:top w:val="none" w:sz="0" w:space="0" w:color="auto"/>
        <w:left w:val="none" w:sz="0" w:space="0" w:color="auto"/>
        <w:bottom w:val="none" w:sz="0" w:space="0" w:color="auto"/>
        <w:right w:val="none" w:sz="0" w:space="0" w:color="auto"/>
      </w:divBdr>
    </w:div>
    <w:div w:id="1389306369">
      <w:bodyDiv w:val="1"/>
      <w:marLeft w:val="0"/>
      <w:marRight w:val="0"/>
      <w:marTop w:val="0"/>
      <w:marBottom w:val="0"/>
      <w:divBdr>
        <w:top w:val="none" w:sz="0" w:space="0" w:color="auto"/>
        <w:left w:val="none" w:sz="0" w:space="0" w:color="auto"/>
        <w:bottom w:val="none" w:sz="0" w:space="0" w:color="auto"/>
        <w:right w:val="none" w:sz="0" w:space="0" w:color="auto"/>
      </w:divBdr>
    </w:div>
    <w:div w:id="1459836497">
      <w:bodyDiv w:val="1"/>
      <w:marLeft w:val="0"/>
      <w:marRight w:val="0"/>
      <w:marTop w:val="0"/>
      <w:marBottom w:val="0"/>
      <w:divBdr>
        <w:top w:val="none" w:sz="0" w:space="0" w:color="auto"/>
        <w:left w:val="none" w:sz="0" w:space="0" w:color="auto"/>
        <w:bottom w:val="none" w:sz="0" w:space="0" w:color="auto"/>
        <w:right w:val="none" w:sz="0" w:space="0" w:color="auto"/>
      </w:divBdr>
    </w:div>
    <w:div w:id="1497110320">
      <w:bodyDiv w:val="1"/>
      <w:marLeft w:val="0"/>
      <w:marRight w:val="0"/>
      <w:marTop w:val="0"/>
      <w:marBottom w:val="0"/>
      <w:divBdr>
        <w:top w:val="none" w:sz="0" w:space="0" w:color="auto"/>
        <w:left w:val="none" w:sz="0" w:space="0" w:color="auto"/>
        <w:bottom w:val="none" w:sz="0" w:space="0" w:color="auto"/>
        <w:right w:val="none" w:sz="0" w:space="0" w:color="auto"/>
      </w:divBdr>
    </w:div>
    <w:div w:id="1508787415">
      <w:bodyDiv w:val="1"/>
      <w:marLeft w:val="0"/>
      <w:marRight w:val="0"/>
      <w:marTop w:val="0"/>
      <w:marBottom w:val="0"/>
      <w:divBdr>
        <w:top w:val="none" w:sz="0" w:space="0" w:color="auto"/>
        <w:left w:val="none" w:sz="0" w:space="0" w:color="auto"/>
        <w:bottom w:val="none" w:sz="0" w:space="0" w:color="auto"/>
        <w:right w:val="none" w:sz="0" w:space="0" w:color="auto"/>
      </w:divBdr>
    </w:div>
    <w:div w:id="1697344034">
      <w:bodyDiv w:val="1"/>
      <w:marLeft w:val="0"/>
      <w:marRight w:val="0"/>
      <w:marTop w:val="0"/>
      <w:marBottom w:val="0"/>
      <w:divBdr>
        <w:top w:val="none" w:sz="0" w:space="0" w:color="auto"/>
        <w:left w:val="none" w:sz="0" w:space="0" w:color="auto"/>
        <w:bottom w:val="none" w:sz="0" w:space="0" w:color="auto"/>
        <w:right w:val="none" w:sz="0" w:space="0" w:color="auto"/>
      </w:divBdr>
    </w:div>
    <w:div w:id="1734235982">
      <w:bodyDiv w:val="1"/>
      <w:marLeft w:val="0"/>
      <w:marRight w:val="0"/>
      <w:marTop w:val="0"/>
      <w:marBottom w:val="0"/>
      <w:divBdr>
        <w:top w:val="none" w:sz="0" w:space="0" w:color="auto"/>
        <w:left w:val="none" w:sz="0" w:space="0" w:color="auto"/>
        <w:bottom w:val="none" w:sz="0" w:space="0" w:color="auto"/>
        <w:right w:val="none" w:sz="0" w:space="0" w:color="auto"/>
      </w:divBdr>
    </w:div>
    <w:div w:id="2079161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woolsgrove@ecf.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eli/reg/2019/2144/oj" TargetMode="External"/><Relationship Id="rId18" Type="http://schemas.openxmlformats.org/officeDocument/2006/relationships/hyperlink" Target="https://cyclingindustries.com/news/details/new-european-cycling-industry-forecast-shows-huge-growth-in-bike-and-e-bike-sales" TargetMode="External"/><Relationship Id="rId26" Type="http://schemas.openxmlformats.org/officeDocument/2006/relationships/hyperlink" Target="https://standards.cen.eu/dyn/www/f?p=204:32:0::::FSP_ORG_ID,FSP_LANG_ID:6314,25&amp;cs=15471628D918031F2386C2FFB70BED679" TargetMode="External"/><Relationship Id="rId21" Type="http://schemas.openxmlformats.org/officeDocument/2006/relationships/hyperlink" Target="https://www.ziv-zweirad.de/uploads/media/PM_2021_10.03._ZIV-Praesentation_10.03.2021_mit_Text.pdf" TargetMode="External"/><Relationship Id="rId34" Type="http://schemas.openxmlformats.org/officeDocument/2006/relationships/hyperlink" Target="https://etsc.eu/ranking-eu-progress-on-car-occupant-safety-pin-flash-27/" TargetMode="External"/><Relationship Id="rId7" Type="http://schemas.openxmlformats.org/officeDocument/2006/relationships/hyperlink" Target="https://www.gov.uk/government/publications/climate-change-and-transport-choices-segmentation-update" TargetMode="External"/><Relationship Id="rId12" Type="http://schemas.openxmlformats.org/officeDocument/2006/relationships/hyperlink" Target="https://etsc.eu/how-safe-is-walking-and-cycling-in-europe-pin-flash-38/" TargetMode="External"/><Relationship Id="rId17" Type="http://schemas.openxmlformats.org/officeDocument/2006/relationships/hyperlink" Target="https://www.ziv-zweirad.de/uploads/media/PM_2021_10.03._ZIV-Praesentation_10.03.2021_mit_Text.pdf" TargetMode="External"/><Relationship Id="rId25" Type="http://schemas.openxmlformats.org/officeDocument/2006/relationships/hyperlink" Target="http://www.conebi.eu/facts-and-figures/" TargetMode="External"/><Relationship Id="rId33" Type="http://schemas.openxmlformats.org/officeDocument/2006/relationships/hyperlink" Target="https://eur-lex.europa.eu/resource.html?uri=cellar%3A0e8b694e-59b5-11e8-ab41-01aa75ed71a1.0003.02/DOC_2&amp;format=PDF" TargetMode="External"/><Relationship Id="rId2" Type="http://schemas.openxmlformats.org/officeDocument/2006/relationships/hyperlink" Target="https://ecf.com/what-we-do/cycling-economy/economic-benefits" TargetMode="External"/><Relationship Id="rId16" Type="http://schemas.openxmlformats.org/officeDocument/2006/relationships/hyperlink" Target="https://op.europa.eu/en/publication-detail/-/publication/bfd5eba8-2058-11ea-95ab-01aa75ed71a1/language-en" TargetMode="External"/><Relationship Id="rId20" Type="http://schemas.openxmlformats.org/officeDocument/2006/relationships/hyperlink" Target="https://www.bike-eu.com/market/nieuws/2020/03/belgian-market-over-50-percent-of-all-bikes-sold-are-electric-ones-2-10137428" TargetMode="External"/><Relationship Id="rId29" Type="http://schemas.openxmlformats.org/officeDocument/2006/relationships/hyperlink" Target="https://ecf.com/news-and-events/news/cycling-fast-track-eu-covid-recovery-package-eu-green-deal" TargetMode="External"/><Relationship Id="rId1" Type="http://schemas.openxmlformats.org/officeDocument/2006/relationships/hyperlink" Target="https://etsc.eu/how-safe-is-walking-and-cycling-in-europe-pin-flash-38/" TargetMode="External"/><Relationship Id="rId6" Type="http://schemas.openxmlformats.org/officeDocument/2006/relationships/hyperlink" Target="http://www.euro.who.int/__data/assets/pdf_file/0009/98424/E89498.pdf" TargetMode="External"/><Relationship Id="rId11" Type="http://schemas.openxmlformats.org/officeDocument/2006/relationships/hyperlink" Target="https://www.gov.uk/government/uploads/system/uploads/attachment_data/file/674503/walking-and-cyclingstatistics-england-2016.pdf" TargetMode="External"/><Relationship Id="rId24" Type="http://schemas.openxmlformats.org/officeDocument/2006/relationships/hyperlink" Target="http://www.ec.europa.eu/environment/europeangreencapital/wp-content/uploads/2011/05/EGCNantesUKChap2-F.pdf" TargetMode="External"/><Relationship Id="rId32" Type="http://schemas.openxmlformats.org/officeDocument/2006/relationships/hyperlink" Target="https://ecf.com/groups/ecf-helmet-factsheet" TargetMode="External"/><Relationship Id="rId37" Type="http://schemas.openxmlformats.org/officeDocument/2006/relationships/hyperlink" Target="https://ecf.com/resources/cycling-facts-and-figures" TargetMode="External"/><Relationship Id="rId5" Type="http://schemas.openxmlformats.org/officeDocument/2006/relationships/hyperlink" Target="https://ec.europa.eu/transport/themes/sustainable-transport/internalisation-transport-external-costs_en" TargetMode="External"/><Relationship Id="rId15" Type="http://schemas.openxmlformats.org/officeDocument/2006/relationships/hyperlink" Target="https://ecf.com/sites/ecf.com/files/ECF_Position_ISA_Implementation_Final.pdf" TargetMode="External"/><Relationship Id="rId23" Type="http://schemas.openxmlformats.org/officeDocument/2006/relationships/hyperlink" Target="http://www.cso.ie/en/releasesandpublications/ep/p-nts/nts2016/hwt/" TargetMode="External"/><Relationship Id="rId28" Type="http://schemas.openxmlformats.org/officeDocument/2006/relationships/hyperlink" Target="https://www.destatis.de/DE/ZahlenFakten/GesellschaftStaat/EinkommenKonsumLebensbedingungen/AusstattungGebrauchsguetern/Tabellen/Fahrzeuge_D.html" TargetMode="External"/><Relationship Id="rId36" Type="http://schemas.openxmlformats.org/officeDocument/2006/relationships/hyperlink" Target="https://nacto.org/wp-content/uploads/2010/08/Cycle_Tracks_Copenhagen.pdf" TargetMode="External"/><Relationship Id="rId10" Type="http://schemas.openxmlformats.org/officeDocument/2006/relationships/hyperlink" Target="http://www.internationaltransportforum.org/pub/pdf/13IrtadReport.pdf" TargetMode="External"/><Relationship Id="rId19" Type="http://schemas.openxmlformats.org/officeDocument/2006/relationships/hyperlink" Target="https://www.bike-eu.com/market/nieuws/2021/03/e-bike-and-bicycle-market-value-hiked-by-one-third-in-the-netherlands-10140060" TargetMode="External"/><Relationship Id="rId31" Type="http://schemas.openxmlformats.org/officeDocument/2006/relationships/hyperlink" Target="https://etsc.eu/reducing-speeding-in-europe-pin-flash-36/" TargetMode="External"/><Relationship Id="rId4" Type="http://schemas.openxmlformats.org/officeDocument/2006/relationships/hyperlink" Target="https://www.researchgate.net/publication/280316427_Dutch_Cycling_Quantifying_the_Health_and_Related_Economic_Benefits" TargetMode="External"/><Relationship Id="rId9" Type="http://schemas.openxmlformats.org/officeDocument/2006/relationships/hyperlink" Target="http://aje.oxfordjournals.org/content/166/2/212.full.pdf+html" TargetMode="External"/><Relationship Id="rId14" Type="http://schemas.openxmlformats.org/officeDocument/2006/relationships/hyperlink" Target="https://ecf.com/news-and-events/news/eu-mandatory-vehicle-regulations-pave-way-great-leap-cycling-safety" TargetMode="External"/><Relationship Id="rId22" Type="http://schemas.openxmlformats.org/officeDocument/2006/relationships/hyperlink" Target="https://www.gov.uk/government/statistics/transport-statistics-great-britain-2016" TargetMode="External"/><Relationship Id="rId27" Type="http://schemas.openxmlformats.org/officeDocument/2006/relationships/hyperlink" Target="https://www.itf-oecd.org/sites/default/files/docs/safety-bike-share-systems_1.pdf" TargetMode="External"/><Relationship Id="rId30" Type="http://schemas.openxmlformats.org/officeDocument/2006/relationships/hyperlink" Target="https://www.google.com/url?sa=t&amp;rct=j&amp;q=&amp;esrc=s&amp;source=web&amp;cd=&amp;ved=2ahUKEwjx95i7ocrqAhUNqaQKHVOdBrUQFjAKegQIAhAB&amp;url=https%3A%2F%2Fec.europa.eu%2Ftransport%2Froad_safety%2Fsites%2Froadsafety%2Ffiles%2Fpdf%2Fersosynthesis2018-speedspeedmanagement.pdf&amp;usg=AOvVaw0tfYe3BWQFAufMn_vtNU7-" TargetMode="External"/><Relationship Id="rId35" Type="http://schemas.openxmlformats.org/officeDocument/2006/relationships/hyperlink" Target="https://www.narcis.nl/publication/RecordID/oai:library.swov.nl:331535" TargetMode="External"/><Relationship Id="rId8" Type="http://schemas.openxmlformats.org/officeDocument/2006/relationships/hyperlink" Target="https://www.nhs.uk/news/lifestyle-and-exercise/news-analysis-cycling-safety-special-report/" TargetMode="External"/><Relationship Id="rId3" Type="http://schemas.openxmlformats.org/officeDocument/2006/relationships/hyperlink" Target="https://www.gov.uk/government/publications/climate-change-and-transport-choices-segmentation-upd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f2\Documents\2_ECF%20template-short%20documents_2017.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Cyclist Fatalities Collision</a:t>
            </a:r>
            <a:r>
              <a:rPr lang="en-GB" baseline="0"/>
              <a:t> Partners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Sheet1!$B$2:$B$9</c:f>
              <c:strCache>
                <c:ptCount val="8"/>
                <c:pt idx="0">
                  <c:v>Car</c:v>
                </c:pt>
                <c:pt idx="1">
                  <c:v>HGV</c:v>
                </c:pt>
                <c:pt idx="2">
                  <c:v>Van</c:v>
                </c:pt>
                <c:pt idx="3">
                  <c:v>Bus/coach</c:v>
                </c:pt>
                <c:pt idx="4">
                  <c:v>PTW</c:v>
                </c:pt>
                <c:pt idx="5">
                  <c:v>Other</c:v>
                </c:pt>
                <c:pt idx="6">
                  <c:v>Single Bicycle Crash</c:v>
                </c:pt>
                <c:pt idx="7">
                  <c:v>Bicycle to bicycle</c:v>
                </c:pt>
              </c:strCache>
            </c:strRef>
          </c:cat>
          <c:val>
            <c:numRef>
              <c:f>Sheet1!$C$2:$C$9</c:f>
              <c:numCache>
                <c:formatCode>General</c:formatCode>
                <c:ptCount val="8"/>
                <c:pt idx="0">
                  <c:v>53</c:v>
                </c:pt>
                <c:pt idx="1">
                  <c:v>13</c:v>
                </c:pt>
                <c:pt idx="2">
                  <c:v>7</c:v>
                </c:pt>
                <c:pt idx="3">
                  <c:v>2</c:v>
                </c:pt>
                <c:pt idx="4">
                  <c:v>2</c:v>
                </c:pt>
                <c:pt idx="5">
                  <c:v>6</c:v>
                </c:pt>
                <c:pt idx="6">
                  <c:v>16</c:v>
                </c:pt>
                <c:pt idx="7">
                  <c:v>1</c:v>
                </c:pt>
              </c:numCache>
            </c:numRef>
          </c:val>
          <c:extLst>
            <c:ext xmlns:c16="http://schemas.microsoft.com/office/drawing/2014/chart" uri="{C3380CC4-5D6E-409C-BE32-E72D297353CC}">
              <c16:uniqueId val="{00000000-EC96-45F1-9E05-A6D095C61EA7}"/>
            </c:ext>
          </c:extLst>
        </c:ser>
        <c:dLbls>
          <c:showLegendKey val="0"/>
          <c:showVal val="0"/>
          <c:showCatName val="0"/>
          <c:showSerName val="0"/>
          <c:showPercent val="0"/>
          <c:showBubbleSize val="0"/>
        </c:dLbls>
        <c:gapWidth val="219"/>
        <c:overlap val="-27"/>
        <c:axId val="628373504"/>
        <c:axId val="628370176"/>
      </c:barChart>
      <c:catAx>
        <c:axId val="628373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Collision</a:t>
                </a:r>
                <a:r>
                  <a:rPr lang="en-US" baseline="0"/>
                  <a:t> Partner</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370176"/>
        <c:crosses val="autoZero"/>
        <c:auto val="1"/>
        <c:lblAlgn val="ctr"/>
        <c:lblOffset val="100"/>
        <c:noMultiLvlLbl val="0"/>
      </c:catAx>
      <c:valAx>
        <c:axId val="628370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373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ECF_ppt theme 2017">
  <a:themeElements>
    <a:clrScheme name="ECF colors_2017">
      <a:dk1>
        <a:srgbClr val="055068"/>
      </a:dk1>
      <a:lt1>
        <a:sysClr val="window" lastClr="FFFFFF"/>
      </a:lt1>
      <a:dk2>
        <a:srgbClr val="055068"/>
      </a:dk2>
      <a:lt2>
        <a:srgbClr val="EFCE0C"/>
      </a:lt2>
      <a:accent1>
        <a:srgbClr val="0092AA"/>
      </a:accent1>
      <a:accent2>
        <a:srgbClr val="B1CB31"/>
      </a:accent2>
      <a:accent3>
        <a:srgbClr val="EFCE0C"/>
      </a:accent3>
      <a:accent4>
        <a:srgbClr val="F28E28"/>
      </a:accent4>
      <a:accent5>
        <a:srgbClr val="B31F3B"/>
      </a:accent5>
      <a:accent6>
        <a:srgbClr val="09DCFF"/>
      </a:accent6>
      <a:hlink>
        <a:srgbClr val="0092AA"/>
      </a:hlink>
      <a:folHlink>
        <a:srgbClr val="0092AA"/>
      </a:folHlink>
    </a:clrScheme>
    <a:fontScheme name="ECF_fonts">
      <a:majorFont>
        <a:latin typeface="FuturaBold Ro"/>
        <a:ea typeface=""/>
        <a:cs typeface=""/>
      </a:majorFont>
      <a:minorFont>
        <a:latin typeface="FuturaTEE"/>
        <a:ea typeface=""/>
        <a:cs typeface=""/>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CF_ppt theme 2017" id="{AC792615-E5F4-4106-9A57-814545257DEF}" vid="{5F679A95-C103-422D-B861-7DC6AA2DA5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2012-03-25T00:00:00</PublishDate>
  <Abstract>Optional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2362D7-C6D3-434C-8996-8BEAB74E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2_ECF template-short documents_2017.dotx</Template>
  <TotalTime>4</TotalTime>
  <Pages>17</Pages>
  <Words>6050</Words>
  <Characters>34486</Characters>
  <Application>Microsoft Office Word</Application>
  <DocSecurity>0</DocSecurity>
  <Lines>287</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ECF Road Safety Recommendations for European Parliament Own Initiative Report</vt:lpstr>
      <vt:lpstr>TITLE OF THE DOCUMENT IN CAPITAL LETTERS</vt:lpstr>
    </vt:vector>
  </TitlesOfParts>
  <Company>Lightmaker Group Ltd</Company>
  <LinksUpToDate>false</LinksUpToDate>
  <CharactersWithSpaces>40456</CharactersWithSpaces>
  <SharedDoc>false</SharedDoc>
  <HLinks>
    <vt:vector size="60" baseType="variant">
      <vt:variant>
        <vt:i4>720908</vt:i4>
      </vt:variant>
      <vt:variant>
        <vt:i4>51</vt:i4>
      </vt:variant>
      <vt:variant>
        <vt:i4>0</vt:i4>
      </vt:variant>
      <vt:variant>
        <vt:i4>5</vt:i4>
      </vt:variant>
      <vt:variant>
        <vt:lpwstr>http://www.itwswitches.co.uk/</vt:lpwstr>
      </vt:variant>
      <vt:variant>
        <vt:lpwstr/>
      </vt:variant>
      <vt:variant>
        <vt:i4>3407935</vt:i4>
      </vt:variant>
      <vt:variant>
        <vt:i4>48</vt:i4>
      </vt:variant>
      <vt:variant>
        <vt:i4>0</vt:i4>
      </vt:variant>
      <vt:variant>
        <vt:i4>5</vt:i4>
      </vt:variant>
      <vt:variant>
        <vt:lpwstr>http://www.lightmaker.net/</vt:lpwstr>
      </vt:variant>
      <vt:variant>
        <vt:lpwstr/>
      </vt:variant>
      <vt:variant>
        <vt:i4>1114170</vt:i4>
      </vt:variant>
      <vt:variant>
        <vt:i4>41</vt:i4>
      </vt:variant>
      <vt:variant>
        <vt:i4>0</vt:i4>
      </vt:variant>
      <vt:variant>
        <vt:i4>5</vt:i4>
      </vt:variant>
      <vt:variant>
        <vt:lpwstr/>
      </vt:variant>
      <vt:variant>
        <vt:lpwstr>_Toc83011531</vt:lpwstr>
      </vt:variant>
      <vt:variant>
        <vt:i4>1048634</vt:i4>
      </vt:variant>
      <vt:variant>
        <vt:i4>35</vt:i4>
      </vt:variant>
      <vt:variant>
        <vt:i4>0</vt:i4>
      </vt:variant>
      <vt:variant>
        <vt:i4>5</vt:i4>
      </vt:variant>
      <vt:variant>
        <vt:lpwstr/>
      </vt:variant>
      <vt:variant>
        <vt:lpwstr>_Toc83011530</vt:lpwstr>
      </vt:variant>
      <vt:variant>
        <vt:i4>1638459</vt:i4>
      </vt:variant>
      <vt:variant>
        <vt:i4>29</vt:i4>
      </vt:variant>
      <vt:variant>
        <vt:i4>0</vt:i4>
      </vt:variant>
      <vt:variant>
        <vt:i4>5</vt:i4>
      </vt:variant>
      <vt:variant>
        <vt:lpwstr/>
      </vt:variant>
      <vt:variant>
        <vt:lpwstr>_Toc83011529</vt:lpwstr>
      </vt:variant>
      <vt:variant>
        <vt:i4>1572923</vt:i4>
      </vt:variant>
      <vt:variant>
        <vt:i4>23</vt:i4>
      </vt:variant>
      <vt:variant>
        <vt:i4>0</vt:i4>
      </vt:variant>
      <vt:variant>
        <vt:i4>5</vt:i4>
      </vt:variant>
      <vt:variant>
        <vt:lpwstr/>
      </vt:variant>
      <vt:variant>
        <vt:lpwstr>_Toc83011528</vt:lpwstr>
      </vt:variant>
      <vt:variant>
        <vt:i4>1507387</vt:i4>
      </vt:variant>
      <vt:variant>
        <vt:i4>17</vt:i4>
      </vt:variant>
      <vt:variant>
        <vt:i4>0</vt:i4>
      </vt:variant>
      <vt:variant>
        <vt:i4>5</vt:i4>
      </vt:variant>
      <vt:variant>
        <vt:lpwstr/>
      </vt:variant>
      <vt:variant>
        <vt:lpwstr>_Toc83011527</vt:lpwstr>
      </vt:variant>
      <vt:variant>
        <vt:i4>1441851</vt:i4>
      </vt:variant>
      <vt:variant>
        <vt:i4>11</vt:i4>
      </vt:variant>
      <vt:variant>
        <vt:i4>0</vt:i4>
      </vt:variant>
      <vt:variant>
        <vt:i4>5</vt:i4>
      </vt:variant>
      <vt:variant>
        <vt:lpwstr/>
      </vt:variant>
      <vt:variant>
        <vt:lpwstr>_Toc83011526</vt:lpwstr>
      </vt:variant>
      <vt:variant>
        <vt:i4>1376315</vt:i4>
      </vt:variant>
      <vt:variant>
        <vt:i4>5</vt:i4>
      </vt:variant>
      <vt:variant>
        <vt:i4>0</vt:i4>
      </vt:variant>
      <vt:variant>
        <vt:i4>5</vt:i4>
      </vt:variant>
      <vt:variant>
        <vt:lpwstr/>
      </vt:variant>
      <vt:variant>
        <vt:lpwstr>_Toc83011525</vt:lpwstr>
      </vt:variant>
      <vt:variant>
        <vt:i4>8257538</vt:i4>
      </vt:variant>
      <vt:variant>
        <vt:i4>0</vt:i4>
      </vt:variant>
      <vt:variant>
        <vt:i4>0</vt:i4>
      </vt:variant>
      <vt:variant>
        <vt:i4>5</vt:i4>
      </vt:variant>
      <vt:variant>
        <vt:lpwstr>mailto:your.name@lightmaker.com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ECF Road Safety Recommendations for European Parliament Own Initiative Report</dc:title>
  <dc:subject>Subtitle: ECF position paper on...(the final text shouldn’t include subtitle)</dc:subject>
  <dc:creator>ECF2</dc:creator>
  <cp:keywords>European Cyclists' Federation</cp:keywords>
  <cp:lastModifiedBy>Ceri Woolsgrove | ECF</cp:lastModifiedBy>
  <cp:revision>12</cp:revision>
  <cp:lastPrinted>2021-03-25T08:19:00Z</cp:lastPrinted>
  <dcterms:created xsi:type="dcterms:W3CDTF">2021-03-28T15:14:00Z</dcterms:created>
  <dcterms:modified xsi:type="dcterms:W3CDTF">2021-03-28T20:06:00Z</dcterms:modified>
</cp:coreProperties>
</file>